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29A" w:rsidRPr="009C6D6C" w:rsidRDefault="00FC2A80" w:rsidP="00AA0EB7">
      <w:pPr>
        <w:spacing w:after="0" w:line="240" w:lineRule="auto"/>
        <w:jc w:val="center"/>
        <w:rPr>
          <w:rFonts w:asciiTheme="majorBidi" w:hAnsiTheme="majorBidi" w:cstheme="majorBidi"/>
          <w:b/>
          <w:bCs/>
          <w:noProof/>
          <w:lang w:val="tr-TR"/>
        </w:rPr>
      </w:pPr>
      <w:r w:rsidRPr="009C6D6C">
        <w:rPr>
          <w:rFonts w:asciiTheme="majorBidi" w:hAnsiTheme="majorBidi" w:cstheme="majorBidi"/>
          <w:b/>
          <w:bCs/>
          <w:noProof/>
          <w:lang w:val="tr-TR"/>
        </w:rPr>
        <w:t xml:space="preserve"> </w:t>
      </w:r>
      <w:r w:rsidR="00676E35" w:rsidRPr="009C6D6C">
        <w:rPr>
          <w:rFonts w:asciiTheme="majorBidi" w:hAnsiTheme="majorBidi" w:cstheme="majorBidi"/>
          <w:b/>
          <w:bCs/>
          <w:noProof/>
          <w:lang w:val="tr-TR"/>
        </w:rPr>
        <w:t>“</w:t>
      </w:r>
      <w:r w:rsidR="00E5652A" w:rsidRPr="009C6D6C">
        <w:rPr>
          <w:rFonts w:asciiTheme="majorBidi" w:hAnsiTheme="majorBidi" w:cstheme="majorBidi"/>
          <w:b/>
          <w:bCs/>
          <w:noProof/>
          <w:lang w:val="tr-TR"/>
        </w:rPr>
        <w:t>ÜNİVERSİTE ÖĞRENCİLERİ SABIR EĞİLİM ÖLÇEĞİ</w:t>
      </w:r>
      <w:r w:rsidR="00676E35" w:rsidRPr="009C6D6C">
        <w:rPr>
          <w:rFonts w:asciiTheme="majorBidi" w:hAnsiTheme="majorBidi" w:cstheme="majorBidi"/>
          <w:b/>
          <w:bCs/>
          <w:noProof/>
          <w:lang w:val="tr-TR"/>
        </w:rPr>
        <w:t>”</w:t>
      </w:r>
      <w:r w:rsidR="00E5652A" w:rsidRPr="009C6D6C">
        <w:rPr>
          <w:rFonts w:asciiTheme="majorBidi" w:hAnsiTheme="majorBidi" w:cstheme="majorBidi"/>
          <w:b/>
          <w:bCs/>
          <w:noProof/>
          <w:lang w:val="tr-TR"/>
        </w:rPr>
        <w:t xml:space="preserve"> GE</w:t>
      </w:r>
      <w:r w:rsidRPr="009C6D6C">
        <w:rPr>
          <w:rFonts w:asciiTheme="majorBidi" w:hAnsiTheme="majorBidi" w:cstheme="majorBidi"/>
          <w:b/>
          <w:bCs/>
          <w:noProof/>
          <w:lang w:val="tr-TR"/>
        </w:rPr>
        <w:t xml:space="preserve">ÇERLİK VE GÜVENİRLİK </w:t>
      </w:r>
      <w:r w:rsidR="00E5652A" w:rsidRPr="009C6D6C">
        <w:rPr>
          <w:rFonts w:asciiTheme="majorBidi" w:hAnsiTheme="majorBidi" w:cstheme="majorBidi"/>
          <w:b/>
          <w:bCs/>
          <w:noProof/>
          <w:lang w:val="tr-TR"/>
        </w:rPr>
        <w:t>ÇALIŞMASI</w:t>
      </w:r>
    </w:p>
    <w:p w:rsidR="000B2802" w:rsidRPr="009C6D6C" w:rsidRDefault="000B2802" w:rsidP="00AA0EB7">
      <w:pPr>
        <w:spacing w:after="0" w:line="240" w:lineRule="auto"/>
        <w:jc w:val="both"/>
        <w:rPr>
          <w:rFonts w:asciiTheme="majorBidi" w:hAnsiTheme="majorBidi" w:cstheme="majorBidi"/>
          <w:noProof/>
          <w:lang w:val="tr-TR"/>
        </w:rPr>
      </w:pPr>
    </w:p>
    <w:p w:rsidR="004931E6" w:rsidRPr="009C6D6C" w:rsidRDefault="004931E6" w:rsidP="001270B7">
      <w:pPr>
        <w:spacing w:after="0" w:line="240" w:lineRule="auto"/>
        <w:jc w:val="both"/>
        <w:rPr>
          <w:rFonts w:asciiTheme="majorBidi" w:hAnsiTheme="majorBidi" w:cstheme="majorBidi"/>
          <w:noProof/>
          <w:lang w:val="tr-TR"/>
        </w:rPr>
      </w:pPr>
    </w:p>
    <w:p w:rsidR="00F612DA" w:rsidRDefault="00BC6D21" w:rsidP="001270B7">
      <w:pPr>
        <w:spacing w:after="0" w:line="240" w:lineRule="auto"/>
        <w:jc w:val="both"/>
        <w:rPr>
          <w:rFonts w:ascii="Times New Roman" w:hAnsi="Times New Roman" w:cs="Times New Roman"/>
          <w:noProof/>
          <w:sz w:val="24"/>
          <w:szCs w:val="24"/>
          <w:lang w:val="tr-TR" w:bidi="ar-EG"/>
        </w:rPr>
      </w:pPr>
      <w:r w:rsidRPr="00782F83">
        <w:rPr>
          <w:rFonts w:ascii="Times New Roman" w:hAnsi="Times New Roman" w:cs="Times New Roman"/>
          <w:noProof/>
          <w:sz w:val="24"/>
          <w:szCs w:val="24"/>
          <w:lang w:val="tr-TR" w:bidi="ar-EG"/>
        </w:rPr>
        <w:t>Çeliköz, N., ve Gül, Y. E. (2018)</w:t>
      </w:r>
      <w:r>
        <w:rPr>
          <w:rFonts w:ascii="Times New Roman" w:hAnsi="Times New Roman" w:cs="Times New Roman"/>
          <w:noProof/>
          <w:sz w:val="24"/>
          <w:szCs w:val="24"/>
          <w:lang w:val="tr-TR" w:bidi="ar-EG"/>
        </w:rPr>
        <w:t>.</w:t>
      </w:r>
      <w:r w:rsidRPr="00782F83">
        <w:rPr>
          <w:rFonts w:ascii="Times New Roman" w:hAnsi="Times New Roman" w:cs="Times New Roman"/>
          <w:noProof/>
          <w:sz w:val="24"/>
          <w:szCs w:val="24"/>
          <w:lang w:val="tr-TR" w:bidi="ar-EG"/>
        </w:rPr>
        <w:t xml:space="preserve"> Üniversite Öğrencileri Sabır Eğilim Ölçeği: Geçerlik ve Güvenirlik Çalışması, </w:t>
      </w:r>
      <w:r>
        <w:rPr>
          <w:rFonts w:ascii="Times New Roman" w:hAnsi="Times New Roman" w:cs="Times New Roman"/>
          <w:noProof/>
          <w:sz w:val="24"/>
          <w:szCs w:val="24"/>
          <w:lang w:val="tr-TR" w:bidi="ar-EG"/>
        </w:rPr>
        <w:t>Hamarta E. vd. (Ed</w:t>
      </w:r>
      <w:r w:rsidRPr="00782F83">
        <w:rPr>
          <w:rFonts w:ascii="Times New Roman" w:hAnsi="Times New Roman" w:cs="Times New Roman"/>
          <w:noProof/>
          <w:sz w:val="24"/>
          <w:szCs w:val="24"/>
          <w:lang w:val="tr-TR" w:bidi="ar-EG"/>
        </w:rPr>
        <w:t>.</w:t>
      </w:r>
      <w:r>
        <w:rPr>
          <w:rFonts w:ascii="Times New Roman" w:hAnsi="Times New Roman" w:cs="Times New Roman"/>
          <w:noProof/>
          <w:sz w:val="24"/>
          <w:szCs w:val="24"/>
          <w:lang w:val="tr-TR" w:bidi="ar-EG"/>
        </w:rPr>
        <w:t xml:space="preserve">), </w:t>
      </w:r>
      <w:r w:rsidRPr="00782F83">
        <w:rPr>
          <w:rFonts w:ascii="Times New Roman" w:hAnsi="Times New Roman" w:cs="Times New Roman"/>
          <w:i/>
          <w:iCs/>
          <w:noProof/>
          <w:sz w:val="24"/>
          <w:szCs w:val="24"/>
          <w:lang w:val="tr-TR" w:bidi="ar-EG"/>
        </w:rPr>
        <w:t>Eğitim Bilimleri Araştırmaları İçinde</w:t>
      </w:r>
      <w:r>
        <w:rPr>
          <w:rFonts w:ascii="Times New Roman" w:hAnsi="Times New Roman" w:cs="Times New Roman"/>
          <w:noProof/>
          <w:sz w:val="24"/>
          <w:szCs w:val="24"/>
          <w:lang w:val="tr-TR" w:bidi="ar-EG"/>
        </w:rPr>
        <w:t xml:space="preserve">, e kitap, 11-21, Çizgi Kitabevi, </w:t>
      </w:r>
      <w:r w:rsidRPr="007E44CC">
        <w:rPr>
          <w:rFonts w:ascii="Times New Roman" w:hAnsi="Times New Roman" w:cs="Times New Roman"/>
          <w:noProof/>
          <w:sz w:val="24"/>
          <w:szCs w:val="24"/>
          <w:lang w:val="tr-TR" w:bidi="ar-EG"/>
        </w:rPr>
        <w:t>ISBN: 978-605-196-187-3</w:t>
      </w:r>
      <w:r>
        <w:rPr>
          <w:rFonts w:ascii="Times New Roman" w:hAnsi="Times New Roman" w:cs="Times New Roman"/>
          <w:noProof/>
          <w:sz w:val="24"/>
          <w:szCs w:val="24"/>
          <w:lang w:val="tr-TR" w:bidi="ar-EG"/>
        </w:rPr>
        <w:t>.</w:t>
      </w:r>
    </w:p>
    <w:p w:rsidR="003E1CB3" w:rsidRDefault="00D348F6" w:rsidP="00F612DA">
      <w:pPr>
        <w:spacing w:after="0" w:line="240" w:lineRule="auto"/>
        <w:jc w:val="center"/>
        <w:rPr>
          <w:rFonts w:asciiTheme="majorBidi" w:hAnsiTheme="majorBidi" w:cstheme="majorBidi"/>
          <w:noProof/>
          <w:lang w:val="tr-TR"/>
        </w:rPr>
      </w:pPr>
      <w:hyperlink r:id="rId7" w:history="1">
        <w:r w:rsidR="003E1CB3" w:rsidRPr="008C5AFB">
          <w:rPr>
            <w:rStyle w:val="a3"/>
            <w:rFonts w:asciiTheme="majorBidi" w:hAnsiTheme="majorBidi" w:cstheme="majorBidi"/>
            <w:noProof/>
            <w:lang w:val="tr-TR"/>
          </w:rPr>
          <w:t>http://congress.inescongress.com/2018/egitim-arastirmalari-2018.pdf</w:t>
        </w:r>
      </w:hyperlink>
    </w:p>
    <w:p w:rsidR="003E1CB3" w:rsidRPr="00F612DA" w:rsidRDefault="003E1CB3" w:rsidP="00F612DA">
      <w:pPr>
        <w:spacing w:after="0" w:line="240" w:lineRule="auto"/>
        <w:jc w:val="center"/>
        <w:rPr>
          <w:rFonts w:asciiTheme="majorBidi" w:hAnsiTheme="majorBidi" w:cstheme="majorBidi"/>
          <w:noProof/>
          <w:lang w:val="tr-TR"/>
        </w:rPr>
      </w:pPr>
    </w:p>
    <w:p w:rsidR="004931E6" w:rsidRPr="009C6D6C" w:rsidRDefault="004931E6" w:rsidP="00AA0EB7">
      <w:pPr>
        <w:spacing w:after="0" w:line="240" w:lineRule="auto"/>
        <w:jc w:val="both"/>
        <w:rPr>
          <w:rFonts w:asciiTheme="majorBidi" w:hAnsiTheme="majorBidi" w:cstheme="majorBidi"/>
          <w:noProof/>
          <w:lang w:val="tr-TR"/>
        </w:rPr>
      </w:pPr>
    </w:p>
    <w:p w:rsidR="00BB2F17" w:rsidRDefault="00BB2F17" w:rsidP="00BB2F17">
      <w:pPr>
        <w:spacing w:before="120" w:after="120" w:line="240" w:lineRule="auto"/>
        <w:rPr>
          <w:rFonts w:asciiTheme="majorBidi" w:hAnsiTheme="majorBidi" w:cstheme="majorBidi"/>
          <w:noProof/>
          <w:lang w:val="tr-TR"/>
        </w:rPr>
      </w:pPr>
    </w:p>
    <w:p w:rsidR="00BB2F17" w:rsidRPr="00B21A9D" w:rsidRDefault="00BB2F17" w:rsidP="00BB2F17">
      <w:pPr>
        <w:spacing w:before="120" w:after="120" w:line="240" w:lineRule="auto"/>
        <w:rPr>
          <w:rFonts w:asciiTheme="majorBidi" w:hAnsiTheme="majorBidi" w:cstheme="majorBidi"/>
          <w:b/>
          <w:bCs/>
          <w:noProof/>
          <w:lang w:val="tr-TR"/>
        </w:rPr>
      </w:pPr>
      <w:r w:rsidRPr="00B21A9D">
        <w:rPr>
          <w:rFonts w:asciiTheme="majorBidi" w:hAnsiTheme="majorBidi" w:cstheme="majorBidi"/>
          <w:b/>
          <w:bCs/>
          <w:noProof/>
          <w:lang w:val="tr-TR"/>
        </w:rPr>
        <w:t>Ek 1.</w:t>
      </w:r>
      <w:r>
        <w:rPr>
          <w:rFonts w:asciiTheme="majorBidi" w:hAnsiTheme="majorBidi" w:cstheme="majorBidi"/>
          <w:noProof/>
          <w:lang w:val="tr-TR"/>
        </w:rPr>
        <w:t xml:space="preserve"> </w:t>
      </w:r>
      <w:r w:rsidRPr="00B21A9D">
        <w:rPr>
          <w:rFonts w:asciiTheme="majorBidi" w:hAnsiTheme="majorBidi" w:cstheme="majorBidi"/>
          <w:b/>
          <w:bCs/>
          <w:noProof/>
          <w:lang w:val="tr-TR"/>
        </w:rPr>
        <w:t>Üniversite Öğrencileri Sabır Ölçeği</w:t>
      </w:r>
    </w:p>
    <w:tbl>
      <w:tblPr>
        <w:tblStyle w:val="a9"/>
        <w:tblW w:w="0" w:type="auto"/>
        <w:tblLook w:val="04A0" w:firstRow="1" w:lastRow="0" w:firstColumn="1" w:lastColumn="0" w:noHBand="0" w:noVBand="1"/>
      </w:tblPr>
      <w:tblGrid>
        <w:gridCol w:w="500"/>
        <w:gridCol w:w="6415"/>
        <w:gridCol w:w="436"/>
        <w:gridCol w:w="436"/>
        <w:gridCol w:w="562"/>
        <w:gridCol w:w="436"/>
        <w:gridCol w:w="560"/>
      </w:tblGrid>
      <w:tr w:rsidR="00CE2C50" w:rsidRPr="00FA42E5" w:rsidTr="00CE2C50">
        <w:trPr>
          <w:cantSplit/>
          <w:trHeight w:val="1528"/>
        </w:trPr>
        <w:tc>
          <w:tcPr>
            <w:tcW w:w="500" w:type="dxa"/>
            <w:textDirection w:val="btLr"/>
          </w:tcPr>
          <w:p w:rsidR="00CE2C50" w:rsidRPr="00FA42E5" w:rsidRDefault="00CE2C50" w:rsidP="00CE2C50">
            <w:pPr>
              <w:autoSpaceDE w:val="0"/>
              <w:autoSpaceDN w:val="0"/>
              <w:adjustRightInd w:val="0"/>
              <w:ind w:left="113" w:right="113"/>
              <w:jc w:val="center"/>
              <w:rPr>
                <w:rFonts w:asciiTheme="majorBidi" w:hAnsiTheme="majorBidi" w:cstheme="majorBidi"/>
                <w:noProof/>
                <w:sz w:val="18"/>
                <w:szCs w:val="18"/>
                <w:lang w:val="tr-TR"/>
              </w:rPr>
            </w:pPr>
            <w:r>
              <w:rPr>
                <w:rFonts w:asciiTheme="majorBidi" w:hAnsiTheme="majorBidi" w:cstheme="majorBidi"/>
                <w:noProof/>
                <w:sz w:val="18"/>
                <w:szCs w:val="18"/>
                <w:lang w:val="tr-TR"/>
              </w:rPr>
              <w:t>Alt Boyut</w:t>
            </w:r>
          </w:p>
        </w:tc>
        <w:tc>
          <w:tcPr>
            <w:tcW w:w="6415" w:type="dxa"/>
            <w:vAlign w:val="center"/>
          </w:tcPr>
          <w:p w:rsidR="00CE2C50" w:rsidRPr="00CE2C50" w:rsidRDefault="00CE2C50" w:rsidP="009B103E">
            <w:pPr>
              <w:autoSpaceDE w:val="0"/>
              <w:autoSpaceDN w:val="0"/>
              <w:adjustRightInd w:val="0"/>
              <w:jc w:val="center"/>
              <w:rPr>
                <w:rFonts w:asciiTheme="majorBidi" w:hAnsiTheme="majorBidi" w:cstheme="majorBidi"/>
                <w:b/>
                <w:noProof/>
                <w:sz w:val="18"/>
                <w:szCs w:val="18"/>
                <w:lang w:val="tr-TR"/>
              </w:rPr>
            </w:pPr>
            <w:r w:rsidRPr="00CE2C50">
              <w:rPr>
                <w:rFonts w:asciiTheme="majorBidi" w:hAnsiTheme="majorBidi" w:cstheme="majorBidi"/>
                <w:b/>
                <w:noProof/>
                <w:sz w:val="20"/>
                <w:szCs w:val="18"/>
                <w:lang w:val="tr-TR"/>
              </w:rPr>
              <w:t>Madde</w:t>
            </w:r>
          </w:p>
        </w:tc>
        <w:tc>
          <w:tcPr>
            <w:tcW w:w="436" w:type="dxa"/>
            <w:textDirection w:val="btLr"/>
          </w:tcPr>
          <w:p w:rsidR="00CE2C50" w:rsidRPr="00CE2C50" w:rsidRDefault="00CE2C50" w:rsidP="00CE2C50">
            <w:pPr>
              <w:autoSpaceDE w:val="0"/>
              <w:autoSpaceDN w:val="0"/>
              <w:adjustRightInd w:val="0"/>
              <w:ind w:left="113" w:right="113"/>
              <w:jc w:val="center"/>
              <w:rPr>
                <w:rFonts w:asciiTheme="majorBidi" w:hAnsiTheme="majorBidi" w:cstheme="majorBidi"/>
                <w:noProof/>
                <w:sz w:val="18"/>
                <w:szCs w:val="18"/>
                <w:lang w:val="tr-TR"/>
              </w:rPr>
            </w:pPr>
            <w:r w:rsidRPr="00CE2C50">
              <w:rPr>
                <w:rFonts w:asciiTheme="majorBidi" w:hAnsiTheme="majorBidi" w:cstheme="majorBidi"/>
                <w:noProof/>
                <w:sz w:val="18"/>
                <w:szCs w:val="18"/>
                <w:lang w:val="tr-TR"/>
              </w:rPr>
              <w:t>Hiç katılmıyorum</w:t>
            </w:r>
          </w:p>
        </w:tc>
        <w:tc>
          <w:tcPr>
            <w:tcW w:w="436" w:type="dxa"/>
            <w:textDirection w:val="btLr"/>
          </w:tcPr>
          <w:p w:rsidR="00CE2C50" w:rsidRPr="00CE2C50" w:rsidRDefault="00CE2C50" w:rsidP="00CE2C50">
            <w:pPr>
              <w:autoSpaceDE w:val="0"/>
              <w:autoSpaceDN w:val="0"/>
              <w:adjustRightInd w:val="0"/>
              <w:ind w:left="113" w:right="113"/>
              <w:jc w:val="center"/>
              <w:rPr>
                <w:rFonts w:asciiTheme="majorBidi" w:hAnsiTheme="majorBidi" w:cstheme="majorBidi"/>
                <w:noProof/>
                <w:sz w:val="18"/>
                <w:szCs w:val="18"/>
                <w:lang w:val="tr-TR"/>
              </w:rPr>
            </w:pPr>
            <w:r w:rsidRPr="00CE2C50">
              <w:rPr>
                <w:rFonts w:asciiTheme="majorBidi" w:hAnsiTheme="majorBidi" w:cstheme="majorBidi"/>
                <w:noProof/>
                <w:sz w:val="18"/>
                <w:szCs w:val="18"/>
                <w:lang w:val="tr-TR"/>
              </w:rPr>
              <w:t xml:space="preserve">Katılmıyorum </w:t>
            </w:r>
          </w:p>
        </w:tc>
        <w:tc>
          <w:tcPr>
            <w:tcW w:w="562" w:type="dxa"/>
            <w:textDirection w:val="btLr"/>
          </w:tcPr>
          <w:p w:rsidR="00CE2C50" w:rsidRPr="00CE2C50" w:rsidRDefault="00CE2C50" w:rsidP="00CE2C50">
            <w:pPr>
              <w:autoSpaceDE w:val="0"/>
              <w:autoSpaceDN w:val="0"/>
              <w:adjustRightInd w:val="0"/>
              <w:ind w:left="113" w:right="113"/>
              <w:jc w:val="center"/>
              <w:rPr>
                <w:rFonts w:asciiTheme="majorBidi" w:hAnsiTheme="majorBidi" w:cstheme="majorBidi"/>
                <w:noProof/>
                <w:sz w:val="18"/>
                <w:szCs w:val="18"/>
                <w:lang w:val="tr-TR"/>
              </w:rPr>
            </w:pPr>
            <w:r w:rsidRPr="00CE2C50">
              <w:rPr>
                <w:rFonts w:asciiTheme="majorBidi" w:hAnsiTheme="majorBidi" w:cstheme="majorBidi"/>
                <w:noProof/>
                <w:sz w:val="18"/>
                <w:szCs w:val="18"/>
                <w:lang w:val="tr-TR"/>
              </w:rPr>
              <w:t>Ne katılıyorum ne katılmıyorum</w:t>
            </w:r>
          </w:p>
        </w:tc>
        <w:tc>
          <w:tcPr>
            <w:tcW w:w="436" w:type="dxa"/>
            <w:textDirection w:val="btLr"/>
          </w:tcPr>
          <w:p w:rsidR="00CE2C50" w:rsidRPr="00CE2C50" w:rsidRDefault="00CE2C50" w:rsidP="00CE2C50">
            <w:pPr>
              <w:autoSpaceDE w:val="0"/>
              <w:autoSpaceDN w:val="0"/>
              <w:adjustRightInd w:val="0"/>
              <w:ind w:left="113" w:right="113"/>
              <w:jc w:val="center"/>
              <w:rPr>
                <w:rFonts w:asciiTheme="majorBidi" w:hAnsiTheme="majorBidi" w:cstheme="majorBidi"/>
                <w:noProof/>
                <w:sz w:val="18"/>
                <w:szCs w:val="18"/>
                <w:lang w:val="tr-TR"/>
              </w:rPr>
            </w:pPr>
            <w:r w:rsidRPr="00CE2C50">
              <w:rPr>
                <w:rFonts w:asciiTheme="majorBidi" w:hAnsiTheme="majorBidi" w:cstheme="majorBidi"/>
                <w:noProof/>
                <w:sz w:val="18"/>
                <w:szCs w:val="18"/>
                <w:lang w:val="tr-TR"/>
              </w:rPr>
              <w:t>K</w:t>
            </w:r>
            <w:r w:rsidRPr="00CE2C50">
              <w:rPr>
                <w:rFonts w:asciiTheme="majorBidi" w:hAnsiTheme="majorBidi" w:cstheme="majorBidi"/>
                <w:noProof/>
                <w:sz w:val="18"/>
                <w:szCs w:val="18"/>
                <w:lang w:val="tr-TR"/>
              </w:rPr>
              <w:t>atılıyorum</w:t>
            </w:r>
          </w:p>
        </w:tc>
        <w:tc>
          <w:tcPr>
            <w:tcW w:w="560" w:type="dxa"/>
            <w:textDirection w:val="btLr"/>
          </w:tcPr>
          <w:p w:rsidR="00CE2C50" w:rsidRPr="00CE2C50" w:rsidRDefault="00CE2C50" w:rsidP="00CE2C50">
            <w:pPr>
              <w:autoSpaceDE w:val="0"/>
              <w:autoSpaceDN w:val="0"/>
              <w:adjustRightInd w:val="0"/>
              <w:ind w:left="113" w:right="113"/>
              <w:jc w:val="center"/>
              <w:rPr>
                <w:rFonts w:asciiTheme="majorBidi" w:hAnsiTheme="majorBidi" w:cstheme="majorBidi"/>
                <w:noProof/>
                <w:sz w:val="18"/>
                <w:szCs w:val="18"/>
                <w:lang w:val="tr-TR"/>
              </w:rPr>
            </w:pPr>
            <w:r w:rsidRPr="00CE2C50">
              <w:rPr>
                <w:rFonts w:asciiTheme="majorBidi" w:hAnsiTheme="majorBidi" w:cstheme="majorBidi"/>
                <w:noProof/>
                <w:sz w:val="18"/>
                <w:szCs w:val="18"/>
                <w:lang w:val="tr-TR"/>
              </w:rPr>
              <w:t xml:space="preserve">Kesinlikle </w:t>
            </w:r>
            <w:r w:rsidRPr="00CE2C50">
              <w:rPr>
                <w:rFonts w:asciiTheme="majorBidi" w:hAnsiTheme="majorBidi" w:cstheme="majorBidi"/>
                <w:noProof/>
                <w:sz w:val="18"/>
                <w:szCs w:val="18"/>
                <w:lang w:val="tr-TR"/>
              </w:rPr>
              <w:t>katılıyorum</w:t>
            </w:r>
          </w:p>
        </w:tc>
      </w:tr>
      <w:tr w:rsidR="00CE2C50" w:rsidRPr="004E70EF" w:rsidTr="00CE2C50">
        <w:trPr>
          <w:trHeight w:val="312"/>
        </w:trPr>
        <w:tc>
          <w:tcPr>
            <w:tcW w:w="500" w:type="dxa"/>
            <w:vMerge w:val="restart"/>
            <w:textDirection w:val="btLr"/>
          </w:tcPr>
          <w:p w:rsidR="00CE2C50" w:rsidRPr="004E70EF" w:rsidRDefault="00CE2C50" w:rsidP="009B103E">
            <w:pPr>
              <w:autoSpaceDE w:val="0"/>
              <w:autoSpaceDN w:val="0"/>
              <w:adjustRightInd w:val="0"/>
              <w:ind w:left="60" w:right="60"/>
              <w:jc w:val="center"/>
              <w:rPr>
                <w:rFonts w:asciiTheme="majorBidi" w:hAnsiTheme="majorBidi" w:cstheme="majorBidi"/>
                <w:sz w:val="20"/>
                <w:szCs w:val="20"/>
                <w:lang w:val="tr-TR"/>
              </w:rPr>
            </w:pPr>
            <w:r w:rsidRPr="009C6D6C">
              <w:rPr>
                <w:rFonts w:asciiTheme="majorBidi" w:hAnsiTheme="majorBidi" w:cstheme="majorBidi"/>
                <w:i/>
                <w:iCs/>
                <w:noProof/>
                <w:lang w:val="tr-TR"/>
              </w:rPr>
              <w:t>Tahammülsüzlüğe karşı sabır</w:t>
            </w:r>
          </w:p>
        </w:tc>
        <w:tc>
          <w:tcPr>
            <w:tcW w:w="6415" w:type="dxa"/>
          </w:tcPr>
          <w:p w:rsidR="00CE2C50" w:rsidRPr="004E70EF" w:rsidRDefault="00CE2C50" w:rsidP="009B103E">
            <w:pPr>
              <w:autoSpaceDE w:val="0"/>
              <w:autoSpaceDN w:val="0"/>
              <w:adjustRightInd w:val="0"/>
              <w:ind w:left="60" w:right="60"/>
              <w:rPr>
                <w:rFonts w:asciiTheme="majorBidi" w:hAnsiTheme="majorBidi" w:cstheme="majorBidi"/>
                <w:noProof/>
                <w:sz w:val="20"/>
                <w:szCs w:val="20"/>
                <w:lang w:val="tr-TR"/>
              </w:rPr>
            </w:pPr>
            <w:r w:rsidRPr="004E70EF">
              <w:rPr>
                <w:rFonts w:asciiTheme="majorBidi" w:hAnsiTheme="majorBidi" w:cstheme="majorBidi"/>
                <w:sz w:val="20"/>
                <w:szCs w:val="20"/>
                <w:lang w:val="tr-TR"/>
              </w:rPr>
              <w:t>Ak</w:t>
            </w:r>
            <w:r>
              <w:rPr>
                <w:rFonts w:asciiTheme="majorBidi" w:hAnsiTheme="majorBidi" w:cstheme="majorBidi"/>
                <w:sz w:val="20"/>
                <w:szCs w:val="20"/>
                <w:lang w:val="tr-TR"/>
              </w:rPr>
              <w:t>ademik çalışmalarımda zorluklar</w:t>
            </w:r>
            <w:r w:rsidRPr="004E70EF">
              <w:rPr>
                <w:rFonts w:asciiTheme="majorBidi" w:hAnsiTheme="majorBidi" w:cstheme="majorBidi"/>
                <w:sz w:val="20"/>
                <w:szCs w:val="20"/>
                <w:lang w:val="tr-TR"/>
              </w:rPr>
              <w:t>la karşılaştığımda sabrederim</w:t>
            </w:r>
          </w:p>
        </w:tc>
        <w:tc>
          <w:tcPr>
            <w:tcW w:w="436" w:type="dxa"/>
          </w:tcPr>
          <w:p w:rsidR="00CE2C50" w:rsidRPr="004E70EF" w:rsidRDefault="00CE2C50" w:rsidP="009B103E">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9B103E">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9B103E">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9B103E">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9B103E">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4E70EF" w:rsidTr="00CE2C50">
        <w:trPr>
          <w:trHeight w:val="325"/>
        </w:trPr>
        <w:tc>
          <w:tcPr>
            <w:tcW w:w="500" w:type="dxa"/>
            <w:vMerge/>
            <w:textDirection w:val="btLr"/>
          </w:tcPr>
          <w:p w:rsidR="00CE2C50" w:rsidRPr="004E70EF" w:rsidRDefault="00CE2C50" w:rsidP="00CE2C50">
            <w:pPr>
              <w:autoSpaceDE w:val="0"/>
              <w:autoSpaceDN w:val="0"/>
              <w:adjustRightInd w:val="0"/>
              <w:ind w:left="60" w:right="60"/>
              <w:jc w:val="center"/>
              <w:rPr>
                <w:rFonts w:asciiTheme="majorBidi" w:hAnsiTheme="majorBidi" w:cstheme="majorBidi"/>
                <w:sz w:val="20"/>
                <w:szCs w:val="20"/>
                <w:lang w:val="tr-TR"/>
              </w:rPr>
            </w:pPr>
          </w:p>
        </w:tc>
        <w:tc>
          <w:tcPr>
            <w:tcW w:w="6415" w:type="dxa"/>
          </w:tcPr>
          <w:p w:rsidR="00CE2C50" w:rsidRPr="004E70EF" w:rsidRDefault="00CE2C50" w:rsidP="00CE2C50">
            <w:pPr>
              <w:autoSpaceDE w:val="0"/>
              <w:autoSpaceDN w:val="0"/>
              <w:adjustRightInd w:val="0"/>
              <w:ind w:left="60" w:right="60"/>
              <w:rPr>
                <w:rFonts w:asciiTheme="majorBidi" w:hAnsiTheme="majorBidi" w:cstheme="majorBidi"/>
                <w:noProof/>
                <w:sz w:val="20"/>
                <w:szCs w:val="20"/>
                <w:lang w:val="tr-TR"/>
              </w:rPr>
            </w:pPr>
            <w:r w:rsidRPr="004E70EF">
              <w:rPr>
                <w:rFonts w:asciiTheme="majorBidi" w:hAnsiTheme="majorBidi" w:cstheme="majorBidi"/>
                <w:sz w:val="20"/>
                <w:szCs w:val="20"/>
                <w:lang w:val="tr-TR"/>
              </w:rPr>
              <w:t>Derslerde başarılı olabilmek için sabırla çalışılması gerektiğini düşünüyorum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4E70EF" w:rsidTr="00CE2C50">
        <w:trPr>
          <w:trHeight w:val="312"/>
        </w:trPr>
        <w:tc>
          <w:tcPr>
            <w:tcW w:w="500" w:type="dxa"/>
            <w:vMerge/>
            <w:textDirection w:val="btLr"/>
          </w:tcPr>
          <w:p w:rsidR="00CE2C50" w:rsidRPr="004E70EF" w:rsidRDefault="00CE2C50" w:rsidP="00CE2C50">
            <w:pPr>
              <w:autoSpaceDE w:val="0"/>
              <w:autoSpaceDN w:val="0"/>
              <w:adjustRightInd w:val="0"/>
              <w:ind w:left="60" w:right="60"/>
              <w:jc w:val="center"/>
              <w:rPr>
                <w:rFonts w:asciiTheme="majorBidi" w:hAnsiTheme="majorBidi" w:cstheme="majorBidi"/>
                <w:sz w:val="20"/>
                <w:szCs w:val="20"/>
                <w:lang w:val="tr-TR"/>
              </w:rPr>
            </w:pPr>
          </w:p>
        </w:tc>
        <w:tc>
          <w:tcPr>
            <w:tcW w:w="6415" w:type="dxa"/>
          </w:tcPr>
          <w:p w:rsidR="00CE2C50" w:rsidRPr="004E70EF" w:rsidRDefault="00CE2C50" w:rsidP="00CE2C50">
            <w:pPr>
              <w:autoSpaceDE w:val="0"/>
              <w:autoSpaceDN w:val="0"/>
              <w:adjustRightInd w:val="0"/>
              <w:ind w:left="60" w:right="60"/>
              <w:rPr>
                <w:rFonts w:asciiTheme="majorBidi" w:hAnsiTheme="majorBidi" w:cstheme="majorBidi"/>
                <w:noProof/>
                <w:sz w:val="20"/>
                <w:szCs w:val="20"/>
                <w:lang w:val="tr-TR"/>
              </w:rPr>
            </w:pPr>
            <w:r w:rsidRPr="004E70EF">
              <w:rPr>
                <w:rFonts w:asciiTheme="majorBidi" w:hAnsiTheme="majorBidi" w:cstheme="majorBidi"/>
                <w:sz w:val="20"/>
                <w:szCs w:val="20"/>
                <w:lang w:val="tr-TR"/>
              </w:rPr>
              <w:t>Derste öğrenilen bir konuyu başkalarına anlatırken sabırlı olunmalıdır</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extDirection w:val="btLr"/>
          </w:tcPr>
          <w:p w:rsidR="00CE2C50" w:rsidRPr="00FE0BF4" w:rsidRDefault="00CE2C50" w:rsidP="00CE2C50">
            <w:pPr>
              <w:autoSpaceDE w:val="0"/>
              <w:autoSpaceDN w:val="0"/>
              <w:adjustRightInd w:val="0"/>
              <w:ind w:left="60" w:right="60"/>
              <w:jc w:val="center"/>
              <w:rPr>
                <w:rFonts w:asciiTheme="majorBidi" w:hAnsiTheme="majorBidi" w:cstheme="majorBidi"/>
                <w:sz w:val="20"/>
                <w:szCs w:val="20"/>
                <w:lang w:val="tr-TR"/>
              </w:rPr>
            </w:pPr>
          </w:p>
        </w:tc>
        <w:tc>
          <w:tcPr>
            <w:tcW w:w="6415" w:type="dxa"/>
          </w:tcPr>
          <w:p w:rsidR="00CE2C50" w:rsidRPr="00FE0BF4" w:rsidRDefault="00CE2C50" w:rsidP="00CE2C50">
            <w:pPr>
              <w:autoSpaceDE w:val="0"/>
              <w:autoSpaceDN w:val="0"/>
              <w:adjustRightInd w:val="0"/>
              <w:ind w:left="60" w:right="60"/>
              <w:rPr>
                <w:rFonts w:asciiTheme="majorBidi" w:hAnsiTheme="majorBidi" w:cstheme="majorBidi"/>
                <w:noProof/>
                <w:sz w:val="20"/>
                <w:szCs w:val="20"/>
                <w:lang w:val="tr-TR"/>
              </w:rPr>
            </w:pPr>
            <w:r w:rsidRPr="00FE0BF4">
              <w:rPr>
                <w:rFonts w:asciiTheme="majorBidi" w:hAnsiTheme="majorBidi" w:cstheme="majorBidi"/>
                <w:sz w:val="20"/>
                <w:szCs w:val="20"/>
                <w:lang w:val="tr-TR"/>
              </w:rPr>
              <w:t>İnsan sıkıntılar karşısında dayanabilmeli</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12"/>
        </w:trPr>
        <w:tc>
          <w:tcPr>
            <w:tcW w:w="500" w:type="dxa"/>
            <w:vMerge/>
            <w:textDirection w:val="btLr"/>
          </w:tcPr>
          <w:p w:rsidR="00CE2C50" w:rsidRPr="00FE0BF4" w:rsidRDefault="00CE2C50" w:rsidP="00CE2C50">
            <w:pPr>
              <w:autoSpaceDE w:val="0"/>
              <w:autoSpaceDN w:val="0"/>
              <w:adjustRightInd w:val="0"/>
              <w:ind w:left="60" w:right="60"/>
              <w:jc w:val="center"/>
              <w:rPr>
                <w:rFonts w:asciiTheme="majorBidi" w:hAnsiTheme="majorBidi" w:cstheme="majorBidi"/>
                <w:sz w:val="20"/>
                <w:szCs w:val="20"/>
                <w:lang w:val="tr-TR"/>
              </w:rPr>
            </w:pPr>
          </w:p>
        </w:tc>
        <w:tc>
          <w:tcPr>
            <w:tcW w:w="6415" w:type="dxa"/>
          </w:tcPr>
          <w:p w:rsidR="00CE2C50" w:rsidRPr="00FE0BF4" w:rsidRDefault="00CE2C50" w:rsidP="00CE2C50">
            <w:pPr>
              <w:autoSpaceDE w:val="0"/>
              <w:autoSpaceDN w:val="0"/>
              <w:adjustRightInd w:val="0"/>
              <w:ind w:left="60" w:right="60"/>
              <w:rPr>
                <w:rFonts w:asciiTheme="majorBidi" w:hAnsiTheme="majorBidi" w:cstheme="majorBidi"/>
                <w:noProof/>
                <w:sz w:val="20"/>
                <w:szCs w:val="20"/>
                <w:lang w:val="tr-TR"/>
              </w:rPr>
            </w:pPr>
            <w:r w:rsidRPr="00FE0BF4">
              <w:rPr>
                <w:rFonts w:asciiTheme="majorBidi" w:hAnsiTheme="majorBidi" w:cstheme="majorBidi"/>
                <w:sz w:val="20"/>
                <w:szCs w:val="20"/>
                <w:lang w:val="tr-TR"/>
              </w:rPr>
              <w:t>Sabrı çok gerekli bir değer olarak görüyorum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extDirection w:val="btLr"/>
          </w:tcPr>
          <w:p w:rsidR="00CE2C50" w:rsidRPr="00FE0BF4" w:rsidRDefault="00CE2C50" w:rsidP="00CE2C50">
            <w:pPr>
              <w:autoSpaceDE w:val="0"/>
              <w:autoSpaceDN w:val="0"/>
              <w:adjustRightInd w:val="0"/>
              <w:ind w:left="60" w:right="60"/>
              <w:jc w:val="center"/>
              <w:rPr>
                <w:rFonts w:asciiTheme="majorBidi" w:hAnsiTheme="majorBidi" w:cstheme="majorBidi"/>
                <w:sz w:val="20"/>
                <w:szCs w:val="20"/>
                <w:lang w:val="tr-TR"/>
              </w:rPr>
            </w:pPr>
          </w:p>
        </w:tc>
        <w:tc>
          <w:tcPr>
            <w:tcW w:w="6415" w:type="dxa"/>
          </w:tcPr>
          <w:p w:rsidR="00CE2C50" w:rsidRPr="00FE0BF4" w:rsidRDefault="00CE2C50" w:rsidP="00CE2C50">
            <w:pPr>
              <w:autoSpaceDE w:val="0"/>
              <w:autoSpaceDN w:val="0"/>
              <w:adjustRightInd w:val="0"/>
              <w:ind w:left="60" w:right="60"/>
              <w:rPr>
                <w:rFonts w:asciiTheme="majorBidi" w:hAnsiTheme="majorBidi" w:cstheme="majorBidi"/>
                <w:noProof/>
                <w:sz w:val="20"/>
                <w:szCs w:val="20"/>
                <w:lang w:val="tr-TR"/>
              </w:rPr>
            </w:pPr>
            <w:r w:rsidRPr="00FE0BF4">
              <w:rPr>
                <w:rFonts w:asciiTheme="majorBidi" w:hAnsiTheme="majorBidi" w:cstheme="majorBidi"/>
                <w:sz w:val="20"/>
                <w:szCs w:val="20"/>
                <w:lang w:val="tr-TR"/>
              </w:rPr>
              <w:t>Öğrenciler sınıf içerisinde birbirlerine tahammül edebilmelidirler</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12"/>
        </w:trPr>
        <w:tc>
          <w:tcPr>
            <w:tcW w:w="500" w:type="dxa"/>
            <w:vMerge/>
            <w:textDirection w:val="btLr"/>
          </w:tcPr>
          <w:p w:rsidR="00CE2C50" w:rsidRPr="00FE0BF4" w:rsidRDefault="00CE2C50" w:rsidP="00CE2C50">
            <w:pPr>
              <w:autoSpaceDE w:val="0"/>
              <w:autoSpaceDN w:val="0"/>
              <w:adjustRightInd w:val="0"/>
              <w:ind w:left="60" w:right="60"/>
              <w:jc w:val="center"/>
              <w:rPr>
                <w:rFonts w:asciiTheme="majorBidi" w:hAnsiTheme="majorBidi" w:cstheme="majorBidi"/>
                <w:sz w:val="20"/>
                <w:szCs w:val="20"/>
                <w:lang w:val="tr-TR"/>
              </w:rPr>
            </w:pPr>
          </w:p>
        </w:tc>
        <w:tc>
          <w:tcPr>
            <w:tcW w:w="6415" w:type="dxa"/>
          </w:tcPr>
          <w:p w:rsidR="00CE2C50" w:rsidRPr="00FE0BF4" w:rsidRDefault="00CE2C50" w:rsidP="00CE2C50">
            <w:pPr>
              <w:autoSpaceDE w:val="0"/>
              <w:autoSpaceDN w:val="0"/>
              <w:adjustRightInd w:val="0"/>
              <w:ind w:left="60" w:right="60"/>
              <w:rPr>
                <w:rFonts w:asciiTheme="majorBidi" w:hAnsiTheme="majorBidi" w:cstheme="majorBidi"/>
                <w:noProof/>
                <w:sz w:val="20"/>
                <w:szCs w:val="20"/>
                <w:lang w:val="tr-TR"/>
              </w:rPr>
            </w:pPr>
            <w:r w:rsidRPr="00FE0BF4">
              <w:rPr>
                <w:rFonts w:asciiTheme="majorBidi" w:hAnsiTheme="majorBidi" w:cstheme="majorBidi"/>
                <w:sz w:val="20"/>
                <w:szCs w:val="20"/>
                <w:lang w:val="tr-TR"/>
              </w:rPr>
              <w:t>Sinirlendiğimde bunu davranışlarıma yansıtmam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extDirection w:val="btLr"/>
          </w:tcPr>
          <w:p w:rsidR="00CE2C50" w:rsidRPr="00FE0BF4" w:rsidRDefault="00CE2C50" w:rsidP="00CE2C50">
            <w:pPr>
              <w:autoSpaceDE w:val="0"/>
              <w:autoSpaceDN w:val="0"/>
              <w:adjustRightInd w:val="0"/>
              <w:ind w:left="60" w:right="60"/>
              <w:jc w:val="center"/>
              <w:rPr>
                <w:rFonts w:asciiTheme="majorBidi" w:hAnsiTheme="majorBidi" w:cstheme="majorBidi"/>
                <w:sz w:val="20"/>
                <w:szCs w:val="20"/>
                <w:lang w:val="tr-TR"/>
              </w:rPr>
            </w:pPr>
          </w:p>
        </w:tc>
        <w:tc>
          <w:tcPr>
            <w:tcW w:w="6415" w:type="dxa"/>
          </w:tcPr>
          <w:p w:rsidR="00CE2C50" w:rsidRPr="00FE0BF4" w:rsidRDefault="00CE2C50" w:rsidP="00CE2C50">
            <w:pPr>
              <w:autoSpaceDE w:val="0"/>
              <w:autoSpaceDN w:val="0"/>
              <w:adjustRightInd w:val="0"/>
              <w:ind w:left="60" w:right="60"/>
              <w:rPr>
                <w:rFonts w:asciiTheme="majorBidi" w:hAnsiTheme="majorBidi" w:cstheme="majorBidi"/>
                <w:noProof/>
                <w:sz w:val="20"/>
                <w:szCs w:val="20"/>
                <w:lang w:val="tr-TR"/>
              </w:rPr>
            </w:pPr>
            <w:r w:rsidRPr="00FE0BF4">
              <w:rPr>
                <w:rFonts w:asciiTheme="majorBidi" w:hAnsiTheme="majorBidi" w:cstheme="majorBidi"/>
                <w:sz w:val="20"/>
                <w:szCs w:val="20"/>
                <w:lang w:val="tr-TR"/>
              </w:rPr>
              <w:t>Arkadaşlarım kötü bir şaka yaptığında sabırla karşılarım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12"/>
        </w:trPr>
        <w:tc>
          <w:tcPr>
            <w:tcW w:w="500" w:type="dxa"/>
            <w:vMerge/>
            <w:textDirection w:val="btLr"/>
          </w:tcPr>
          <w:p w:rsidR="00CE2C50" w:rsidRPr="00FE0BF4" w:rsidRDefault="00CE2C50" w:rsidP="00CE2C50">
            <w:pPr>
              <w:autoSpaceDE w:val="0"/>
              <w:autoSpaceDN w:val="0"/>
              <w:adjustRightInd w:val="0"/>
              <w:ind w:left="60" w:right="60"/>
              <w:jc w:val="center"/>
              <w:rPr>
                <w:rFonts w:asciiTheme="majorBidi" w:hAnsiTheme="majorBidi" w:cstheme="majorBidi"/>
                <w:sz w:val="20"/>
                <w:szCs w:val="20"/>
                <w:lang w:val="tr-TR"/>
              </w:rPr>
            </w:pPr>
          </w:p>
        </w:tc>
        <w:tc>
          <w:tcPr>
            <w:tcW w:w="6415" w:type="dxa"/>
          </w:tcPr>
          <w:p w:rsidR="00CE2C50" w:rsidRPr="00FE0BF4" w:rsidRDefault="00CE2C50" w:rsidP="00CE2C50">
            <w:pPr>
              <w:autoSpaceDE w:val="0"/>
              <w:autoSpaceDN w:val="0"/>
              <w:adjustRightInd w:val="0"/>
              <w:ind w:left="60" w:right="60"/>
              <w:rPr>
                <w:rFonts w:asciiTheme="majorBidi" w:hAnsiTheme="majorBidi" w:cstheme="majorBidi"/>
                <w:noProof/>
                <w:sz w:val="20"/>
                <w:szCs w:val="20"/>
                <w:lang w:val="tr-TR"/>
              </w:rPr>
            </w:pPr>
            <w:r w:rsidRPr="00FE0BF4">
              <w:rPr>
                <w:rFonts w:asciiTheme="majorBidi" w:hAnsiTheme="majorBidi" w:cstheme="majorBidi"/>
                <w:sz w:val="20"/>
                <w:szCs w:val="20"/>
                <w:lang w:val="tr-TR"/>
              </w:rPr>
              <w:t>Kantinde bir şey alırken kuyruk olduğunda tahammül gösterebilirim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extDirection w:val="btLr"/>
          </w:tcPr>
          <w:p w:rsidR="00CE2C50" w:rsidRPr="00FE0BF4" w:rsidRDefault="00CE2C50" w:rsidP="00CE2C50">
            <w:pPr>
              <w:autoSpaceDE w:val="0"/>
              <w:autoSpaceDN w:val="0"/>
              <w:adjustRightInd w:val="0"/>
              <w:ind w:left="60" w:right="60"/>
              <w:jc w:val="center"/>
              <w:rPr>
                <w:rFonts w:asciiTheme="majorBidi" w:hAnsiTheme="majorBidi" w:cstheme="majorBidi"/>
                <w:sz w:val="20"/>
                <w:szCs w:val="20"/>
                <w:lang w:val="tr-TR"/>
              </w:rPr>
            </w:pPr>
          </w:p>
        </w:tc>
        <w:tc>
          <w:tcPr>
            <w:tcW w:w="6415" w:type="dxa"/>
          </w:tcPr>
          <w:p w:rsidR="00CE2C50" w:rsidRPr="00FE0BF4" w:rsidRDefault="00CE2C50" w:rsidP="00CE2C50">
            <w:pPr>
              <w:autoSpaceDE w:val="0"/>
              <w:autoSpaceDN w:val="0"/>
              <w:adjustRightInd w:val="0"/>
              <w:ind w:left="60" w:right="60"/>
              <w:rPr>
                <w:rFonts w:asciiTheme="majorBidi" w:hAnsiTheme="majorBidi" w:cstheme="majorBidi"/>
                <w:noProof/>
                <w:sz w:val="20"/>
                <w:szCs w:val="20"/>
                <w:lang w:val="tr-TR"/>
              </w:rPr>
            </w:pPr>
            <w:r w:rsidRPr="00FE0BF4">
              <w:rPr>
                <w:rFonts w:asciiTheme="majorBidi" w:hAnsiTheme="majorBidi" w:cstheme="majorBidi"/>
                <w:sz w:val="20"/>
                <w:szCs w:val="20"/>
                <w:lang w:val="tr-TR"/>
              </w:rPr>
              <w:t>Arkadaşlarımın her türlü davranışlarına tahammül edebilirim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val="restart"/>
            <w:textDirection w:val="btLr"/>
          </w:tcPr>
          <w:p w:rsidR="00CE2C50" w:rsidRPr="00FE0BF4" w:rsidRDefault="00CE2C50" w:rsidP="00CE2C50">
            <w:pPr>
              <w:ind w:left="113" w:right="113"/>
              <w:jc w:val="center"/>
              <w:rPr>
                <w:rFonts w:asciiTheme="majorBidi" w:hAnsiTheme="majorBidi" w:cstheme="majorBidi"/>
                <w:sz w:val="20"/>
                <w:szCs w:val="20"/>
                <w:lang w:val="tr-TR"/>
              </w:rPr>
            </w:pPr>
            <w:r w:rsidRPr="009C6D6C">
              <w:rPr>
                <w:rFonts w:asciiTheme="majorBidi" w:hAnsiTheme="majorBidi" w:cstheme="majorBidi"/>
                <w:i/>
                <w:iCs/>
                <w:noProof/>
                <w:lang w:val="tr-TR"/>
              </w:rPr>
              <w:t>Aceleciliğe karşı sabır</w:t>
            </w:r>
          </w:p>
        </w:tc>
        <w:tc>
          <w:tcPr>
            <w:tcW w:w="6415" w:type="dxa"/>
          </w:tcPr>
          <w:p w:rsidR="00CE2C50" w:rsidRPr="00FE0BF4" w:rsidRDefault="00CE2C50" w:rsidP="00CE2C50">
            <w:pPr>
              <w:rPr>
                <w:rFonts w:asciiTheme="majorBidi" w:hAnsiTheme="majorBidi" w:cstheme="majorBidi"/>
                <w:sz w:val="20"/>
                <w:szCs w:val="20"/>
              </w:rPr>
            </w:pPr>
            <w:r w:rsidRPr="00FE0BF4">
              <w:rPr>
                <w:rFonts w:asciiTheme="majorBidi" w:hAnsiTheme="majorBidi" w:cstheme="majorBidi"/>
                <w:sz w:val="20"/>
                <w:szCs w:val="20"/>
                <w:lang w:val="tr-TR"/>
              </w:rPr>
              <w:t>Sınav notları duyuruluncaya kadar sakince beklerim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12"/>
        </w:trPr>
        <w:tc>
          <w:tcPr>
            <w:tcW w:w="500" w:type="dxa"/>
            <w:vMerge/>
            <w:textDirection w:val="btLr"/>
          </w:tcPr>
          <w:p w:rsidR="00CE2C50" w:rsidRPr="00FE0BF4" w:rsidRDefault="00CE2C50" w:rsidP="00CE2C50">
            <w:pPr>
              <w:ind w:left="113" w:right="113"/>
              <w:jc w:val="center"/>
              <w:rPr>
                <w:rFonts w:asciiTheme="majorBidi" w:hAnsiTheme="majorBidi" w:cstheme="majorBidi"/>
                <w:sz w:val="20"/>
                <w:szCs w:val="20"/>
                <w:lang w:val="tr-TR"/>
              </w:rPr>
            </w:pPr>
          </w:p>
        </w:tc>
        <w:tc>
          <w:tcPr>
            <w:tcW w:w="6415" w:type="dxa"/>
          </w:tcPr>
          <w:p w:rsidR="00CE2C50" w:rsidRPr="00FE0BF4" w:rsidRDefault="00CE2C50" w:rsidP="00CE2C50">
            <w:pPr>
              <w:rPr>
                <w:rFonts w:asciiTheme="majorBidi" w:hAnsiTheme="majorBidi" w:cstheme="majorBidi"/>
                <w:sz w:val="20"/>
                <w:szCs w:val="20"/>
              </w:rPr>
            </w:pPr>
            <w:r w:rsidRPr="00FE0BF4">
              <w:rPr>
                <w:rFonts w:asciiTheme="majorBidi" w:hAnsiTheme="majorBidi" w:cstheme="majorBidi"/>
                <w:sz w:val="20"/>
                <w:szCs w:val="20"/>
                <w:lang w:val="tr-TR"/>
              </w:rPr>
              <w:t>Bir işle uğraşırken acele etmem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extDirection w:val="btLr"/>
          </w:tcPr>
          <w:p w:rsidR="00CE2C50" w:rsidRPr="00FE0BF4" w:rsidRDefault="00CE2C50" w:rsidP="00CE2C50">
            <w:pPr>
              <w:ind w:left="113" w:right="113"/>
              <w:jc w:val="center"/>
              <w:rPr>
                <w:rFonts w:asciiTheme="majorBidi" w:hAnsiTheme="majorBidi" w:cstheme="majorBidi"/>
                <w:sz w:val="20"/>
                <w:szCs w:val="20"/>
                <w:lang w:val="tr-TR"/>
              </w:rPr>
            </w:pPr>
          </w:p>
        </w:tc>
        <w:tc>
          <w:tcPr>
            <w:tcW w:w="6415" w:type="dxa"/>
          </w:tcPr>
          <w:p w:rsidR="00CE2C50" w:rsidRPr="00FE0BF4" w:rsidRDefault="00CE2C50" w:rsidP="00CE2C50">
            <w:pPr>
              <w:rPr>
                <w:rFonts w:asciiTheme="majorBidi" w:hAnsiTheme="majorBidi" w:cstheme="majorBidi"/>
                <w:sz w:val="20"/>
                <w:szCs w:val="20"/>
              </w:rPr>
            </w:pPr>
            <w:r w:rsidRPr="00FE0BF4">
              <w:rPr>
                <w:rFonts w:asciiTheme="majorBidi" w:hAnsiTheme="majorBidi" w:cstheme="majorBidi"/>
                <w:sz w:val="20"/>
                <w:szCs w:val="20"/>
                <w:lang w:val="tr-TR"/>
              </w:rPr>
              <w:t>Minibüs veya otobüse binerken acele etmem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extDirection w:val="btLr"/>
          </w:tcPr>
          <w:p w:rsidR="00CE2C50" w:rsidRPr="00FE0BF4" w:rsidRDefault="00CE2C50" w:rsidP="00CE2C50">
            <w:pPr>
              <w:ind w:left="113" w:right="113"/>
              <w:jc w:val="center"/>
              <w:rPr>
                <w:rFonts w:asciiTheme="majorBidi" w:hAnsiTheme="majorBidi" w:cstheme="majorBidi"/>
                <w:sz w:val="20"/>
                <w:szCs w:val="20"/>
                <w:lang w:val="tr-TR"/>
              </w:rPr>
            </w:pPr>
          </w:p>
        </w:tc>
        <w:tc>
          <w:tcPr>
            <w:tcW w:w="6415" w:type="dxa"/>
          </w:tcPr>
          <w:p w:rsidR="00CE2C50" w:rsidRPr="00FE0BF4" w:rsidRDefault="00CE2C50" w:rsidP="00CE2C50">
            <w:pPr>
              <w:rPr>
                <w:rFonts w:asciiTheme="majorBidi" w:hAnsiTheme="majorBidi" w:cstheme="majorBidi"/>
                <w:sz w:val="20"/>
                <w:szCs w:val="20"/>
              </w:rPr>
            </w:pPr>
            <w:r w:rsidRPr="00FE0BF4">
              <w:rPr>
                <w:rFonts w:asciiTheme="majorBidi" w:hAnsiTheme="majorBidi" w:cstheme="majorBidi"/>
                <w:sz w:val="20"/>
                <w:szCs w:val="20"/>
                <w:lang w:val="tr-TR"/>
              </w:rPr>
              <w:t xml:space="preserve">Sınıf arkadaşlarım genelde beni sabırlı </w:t>
            </w:r>
            <w:r>
              <w:rPr>
                <w:rFonts w:asciiTheme="majorBidi" w:hAnsiTheme="majorBidi" w:cstheme="majorBidi"/>
                <w:sz w:val="20"/>
                <w:szCs w:val="20"/>
                <w:lang w:val="tr-TR"/>
              </w:rPr>
              <w:t>bulurlar</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12"/>
        </w:trPr>
        <w:tc>
          <w:tcPr>
            <w:tcW w:w="500" w:type="dxa"/>
            <w:vMerge/>
            <w:textDirection w:val="btLr"/>
          </w:tcPr>
          <w:p w:rsidR="00CE2C50" w:rsidRPr="00FE0BF4" w:rsidRDefault="00CE2C50" w:rsidP="00CE2C50">
            <w:pPr>
              <w:ind w:left="113" w:right="113"/>
              <w:jc w:val="center"/>
              <w:rPr>
                <w:rFonts w:asciiTheme="majorBidi" w:hAnsiTheme="majorBidi" w:cstheme="majorBidi"/>
                <w:sz w:val="20"/>
                <w:szCs w:val="20"/>
                <w:lang w:val="tr-TR"/>
              </w:rPr>
            </w:pPr>
          </w:p>
        </w:tc>
        <w:tc>
          <w:tcPr>
            <w:tcW w:w="6415" w:type="dxa"/>
          </w:tcPr>
          <w:p w:rsidR="00CE2C50" w:rsidRPr="00FE0BF4" w:rsidRDefault="00CE2C50" w:rsidP="00CE2C50">
            <w:pPr>
              <w:rPr>
                <w:rFonts w:asciiTheme="majorBidi" w:hAnsiTheme="majorBidi" w:cstheme="majorBidi"/>
                <w:sz w:val="20"/>
                <w:szCs w:val="20"/>
                <w:lang w:val="tr-TR"/>
              </w:rPr>
            </w:pPr>
            <w:r w:rsidRPr="00FE0BF4">
              <w:rPr>
                <w:rFonts w:asciiTheme="majorBidi" w:hAnsiTheme="majorBidi" w:cstheme="majorBidi"/>
                <w:sz w:val="20"/>
                <w:szCs w:val="20"/>
                <w:lang w:val="tr-TR"/>
              </w:rPr>
              <w:t xml:space="preserve">Ders bittiğinde dışarı </w:t>
            </w:r>
            <w:r>
              <w:rPr>
                <w:rFonts w:asciiTheme="majorBidi" w:hAnsiTheme="majorBidi" w:cstheme="majorBidi"/>
                <w:sz w:val="20"/>
                <w:szCs w:val="20"/>
                <w:lang w:val="tr-TR"/>
              </w:rPr>
              <w:t>çıkmak için acele edilmemelidir</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extDirection w:val="btLr"/>
          </w:tcPr>
          <w:p w:rsidR="00CE2C50" w:rsidRPr="00FE0BF4" w:rsidRDefault="00CE2C50" w:rsidP="00CE2C50">
            <w:pPr>
              <w:ind w:left="113" w:right="113"/>
              <w:jc w:val="center"/>
              <w:rPr>
                <w:rFonts w:asciiTheme="majorBidi" w:hAnsiTheme="majorBidi" w:cstheme="majorBidi"/>
                <w:sz w:val="20"/>
                <w:szCs w:val="20"/>
                <w:lang w:val="tr-TR"/>
              </w:rPr>
            </w:pPr>
          </w:p>
        </w:tc>
        <w:tc>
          <w:tcPr>
            <w:tcW w:w="6415" w:type="dxa"/>
          </w:tcPr>
          <w:p w:rsidR="00CE2C50" w:rsidRPr="00FE0BF4" w:rsidRDefault="00CE2C50" w:rsidP="00CE2C50">
            <w:pPr>
              <w:rPr>
                <w:rFonts w:asciiTheme="majorBidi" w:hAnsiTheme="majorBidi" w:cstheme="majorBidi"/>
                <w:sz w:val="20"/>
                <w:szCs w:val="20"/>
                <w:lang w:val="tr-TR"/>
              </w:rPr>
            </w:pPr>
            <w:r w:rsidRPr="00FE0BF4">
              <w:rPr>
                <w:rFonts w:asciiTheme="majorBidi" w:hAnsiTheme="majorBidi" w:cstheme="majorBidi"/>
                <w:sz w:val="20"/>
                <w:szCs w:val="20"/>
                <w:lang w:val="tr-TR"/>
              </w:rPr>
              <w:t>Kitap okurken bitirmek için acele etmem.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12"/>
        </w:trPr>
        <w:tc>
          <w:tcPr>
            <w:tcW w:w="500" w:type="dxa"/>
            <w:vMerge w:val="restart"/>
            <w:textDirection w:val="btLr"/>
          </w:tcPr>
          <w:p w:rsidR="00CE2C50" w:rsidRPr="00FE0BF4" w:rsidRDefault="00CE2C50" w:rsidP="00CE2C50">
            <w:pPr>
              <w:ind w:left="113" w:right="113"/>
              <w:jc w:val="center"/>
              <w:rPr>
                <w:rFonts w:asciiTheme="majorBidi" w:hAnsiTheme="majorBidi" w:cstheme="majorBidi"/>
                <w:sz w:val="20"/>
                <w:szCs w:val="20"/>
                <w:lang w:val="tr-TR"/>
              </w:rPr>
            </w:pPr>
            <w:r w:rsidRPr="009C6D6C">
              <w:rPr>
                <w:rFonts w:asciiTheme="majorBidi" w:hAnsiTheme="majorBidi" w:cstheme="majorBidi"/>
                <w:i/>
                <w:iCs/>
                <w:noProof/>
                <w:lang w:val="tr-TR"/>
              </w:rPr>
              <w:t>Öfkeye karşı sabır</w:t>
            </w:r>
          </w:p>
        </w:tc>
        <w:tc>
          <w:tcPr>
            <w:tcW w:w="6415" w:type="dxa"/>
          </w:tcPr>
          <w:p w:rsidR="00CE2C50" w:rsidRPr="00FE0BF4" w:rsidRDefault="00CE2C50" w:rsidP="00CE2C50">
            <w:pPr>
              <w:rPr>
                <w:rFonts w:asciiTheme="majorBidi" w:hAnsiTheme="majorBidi" w:cstheme="majorBidi"/>
                <w:sz w:val="20"/>
                <w:szCs w:val="20"/>
              </w:rPr>
            </w:pPr>
            <w:r w:rsidRPr="00FE0BF4">
              <w:rPr>
                <w:rFonts w:asciiTheme="majorBidi" w:hAnsiTheme="majorBidi" w:cstheme="majorBidi"/>
                <w:sz w:val="20"/>
                <w:szCs w:val="20"/>
                <w:lang w:val="tr-TR"/>
              </w:rPr>
              <w:t xml:space="preserve">Yurtta/evde arkadaşlarımın gürültü yapmaları beni </w:t>
            </w:r>
            <w:r>
              <w:rPr>
                <w:rFonts w:asciiTheme="majorBidi" w:hAnsiTheme="majorBidi" w:cstheme="majorBidi"/>
                <w:sz w:val="20"/>
                <w:szCs w:val="20"/>
                <w:lang w:val="tr-TR"/>
              </w:rPr>
              <w:t>öfkelendirmez</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cPr>
          <w:p w:rsidR="00CE2C50" w:rsidRPr="00FE0BF4" w:rsidRDefault="00CE2C50" w:rsidP="00CE2C50">
            <w:pPr>
              <w:rPr>
                <w:rFonts w:asciiTheme="majorBidi" w:hAnsiTheme="majorBidi" w:cstheme="majorBidi"/>
                <w:sz w:val="20"/>
                <w:szCs w:val="20"/>
                <w:lang w:val="tr-TR"/>
              </w:rPr>
            </w:pPr>
          </w:p>
        </w:tc>
        <w:tc>
          <w:tcPr>
            <w:tcW w:w="6415" w:type="dxa"/>
          </w:tcPr>
          <w:p w:rsidR="00CE2C50" w:rsidRPr="00FE0BF4" w:rsidRDefault="00CE2C50" w:rsidP="00CE2C50">
            <w:pPr>
              <w:rPr>
                <w:rFonts w:asciiTheme="majorBidi" w:hAnsiTheme="majorBidi" w:cstheme="majorBidi"/>
                <w:sz w:val="20"/>
                <w:szCs w:val="20"/>
              </w:rPr>
            </w:pPr>
            <w:r w:rsidRPr="00FE0BF4">
              <w:rPr>
                <w:rFonts w:asciiTheme="majorBidi" w:hAnsiTheme="majorBidi" w:cstheme="majorBidi"/>
                <w:sz w:val="20"/>
                <w:szCs w:val="20"/>
                <w:lang w:val="tr-TR"/>
              </w:rPr>
              <w:t>Yemekhane sırasında birisinin önüme geçmesi beni kızdırmaz</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cPr>
          <w:p w:rsidR="00CE2C50" w:rsidRPr="00FE0BF4" w:rsidRDefault="00CE2C50" w:rsidP="00CE2C50">
            <w:pPr>
              <w:rPr>
                <w:rFonts w:asciiTheme="majorBidi" w:hAnsiTheme="majorBidi" w:cstheme="majorBidi"/>
                <w:sz w:val="20"/>
                <w:szCs w:val="20"/>
                <w:lang w:val="tr-TR"/>
              </w:rPr>
            </w:pPr>
          </w:p>
        </w:tc>
        <w:tc>
          <w:tcPr>
            <w:tcW w:w="6415" w:type="dxa"/>
          </w:tcPr>
          <w:p w:rsidR="00CE2C50" w:rsidRPr="00FE0BF4" w:rsidRDefault="00CE2C50" w:rsidP="00CE2C50">
            <w:pPr>
              <w:rPr>
                <w:rFonts w:asciiTheme="majorBidi" w:hAnsiTheme="majorBidi" w:cstheme="majorBidi"/>
                <w:sz w:val="20"/>
                <w:szCs w:val="20"/>
              </w:rPr>
            </w:pPr>
            <w:r w:rsidRPr="00FE0BF4">
              <w:rPr>
                <w:rFonts w:asciiTheme="majorBidi" w:hAnsiTheme="majorBidi" w:cstheme="majorBidi"/>
                <w:sz w:val="20"/>
                <w:szCs w:val="20"/>
                <w:lang w:val="tr-TR"/>
              </w:rPr>
              <w:t xml:space="preserve">Kütüphanede çalışırken öğrencilerin yaptığı gürültü beni </w:t>
            </w:r>
            <w:r>
              <w:rPr>
                <w:rFonts w:asciiTheme="majorBidi" w:hAnsiTheme="majorBidi" w:cstheme="majorBidi"/>
                <w:sz w:val="20"/>
                <w:szCs w:val="20"/>
                <w:lang w:val="tr-TR"/>
              </w:rPr>
              <w:t>sinirlendirmez</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25"/>
        </w:trPr>
        <w:tc>
          <w:tcPr>
            <w:tcW w:w="500" w:type="dxa"/>
            <w:vMerge/>
          </w:tcPr>
          <w:p w:rsidR="00CE2C50" w:rsidRPr="00FE0BF4" w:rsidRDefault="00CE2C50" w:rsidP="00CE2C50">
            <w:pPr>
              <w:rPr>
                <w:rFonts w:asciiTheme="majorBidi" w:hAnsiTheme="majorBidi" w:cstheme="majorBidi"/>
                <w:sz w:val="20"/>
                <w:szCs w:val="20"/>
                <w:lang w:val="tr-TR"/>
              </w:rPr>
            </w:pPr>
          </w:p>
        </w:tc>
        <w:tc>
          <w:tcPr>
            <w:tcW w:w="6415" w:type="dxa"/>
          </w:tcPr>
          <w:p w:rsidR="00CE2C50" w:rsidRPr="00FE0BF4" w:rsidRDefault="00CE2C50" w:rsidP="00CE2C50">
            <w:pPr>
              <w:rPr>
                <w:rFonts w:asciiTheme="majorBidi" w:hAnsiTheme="majorBidi" w:cstheme="majorBidi"/>
                <w:sz w:val="20"/>
                <w:szCs w:val="20"/>
                <w:lang w:val="tr-TR"/>
              </w:rPr>
            </w:pPr>
            <w:r w:rsidRPr="00FE0BF4">
              <w:rPr>
                <w:rFonts w:asciiTheme="majorBidi" w:hAnsiTheme="majorBidi" w:cstheme="majorBidi"/>
                <w:sz w:val="20"/>
                <w:szCs w:val="20"/>
                <w:lang w:val="tr-TR"/>
              </w:rPr>
              <w:t>Kendimden daha başarılı</w:t>
            </w:r>
            <w:r>
              <w:rPr>
                <w:rFonts w:asciiTheme="majorBidi" w:hAnsiTheme="majorBidi" w:cstheme="majorBidi"/>
                <w:sz w:val="20"/>
                <w:szCs w:val="20"/>
                <w:lang w:val="tr-TR"/>
              </w:rPr>
              <w:t xml:space="preserve"> bir öğrenci beni öfkelendirmez</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r w:rsidR="00CE2C50" w:rsidRPr="00FE0BF4" w:rsidTr="00CE2C50">
        <w:trPr>
          <w:trHeight w:val="312"/>
        </w:trPr>
        <w:tc>
          <w:tcPr>
            <w:tcW w:w="500" w:type="dxa"/>
            <w:vMerge/>
          </w:tcPr>
          <w:p w:rsidR="00CE2C50" w:rsidRPr="00FE0BF4" w:rsidRDefault="00CE2C50" w:rsidP="00CE2C50">
            <w:pPr>
              <w:rPr>
                <w:rFonts w:asciiTheme="majorBidi" w:hAnsiTheme="majorBidi" w:cstheme="majorBidi"/>
                <w:sz w:val="20"/>
                <w:szCs w:val="20"/>
                <w:lang w:val="tr-TR"/>
              </w:rPr>
            </w:pPr>
          </w:p>
        </w:tc>
        <w:tc>
          <w:tcPr>
            <w:tcW w:w="6415" w:type="dxa"/>
          </w:tcPr>
          <w:p w:rsidR="00CE2C50" w:rsidRPr="00FE0BF4" w:rsidRDefault="00CE2C50" w:rsidP="00CE2C50">
            <w:pPr>
              <w:rPr>
                <w:rFonts w:asciiTheme="majorBidi" w:hAnsiTheme="majorBidi" w:cstheme="majorBidi"/>
                <w:sz w:val="20"/>
                <w:szCs w:val="20"/>
              </w:rPr>
            </w:pPr>
            <w:r w:rsidRPr="00FE0BF4">
              <w:rPr>
                <w:rFonts w:asciiTheme="majorBidi" w:hAnsiTheme="majorBidi" w:cstheme="majorBidi"/>
                <w:sz w:val="20"/>
                <w:szCs w:val="20"/>
                <w:lang w:val="tr-TR"/>
              </w:rPr>
              <w:t>Spor oyun</w:t>
            </w:r>
            <w:r>
              <w:rPr>
                <w:rFonts w:asciiTheme="majorBidi" w:hAnsiTheme="majorBidi" w:cstheme="majorBidi"/>
                <w:sz w:val="20"/>
                <w:szCs w:val="20"/>
                <w:lang w:val="tr-TR"/>
              </w:rPr>
              <w:t>larında yenildiğimde öfkelenmem</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1</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2</w:t>
            </w:r>
          </w:p>
        </w:tc>
        <w:tc>
          <w:tcPr>
            <w:tcW w:w="562"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3</w:t>
            </w:r>
          </w:p>
        </w:tc>
        <w:tc>
          <w:tcPr>
            <w:tcW w:w="436"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4</w:t>
            </w:r>
          </w:p>
        </w:tc>
        <w:tc>
          <w:tcPr>
            <w:tcW w:w="560" w:type="dxa"/>
          </w:tcPr>
          <w:p w:rsidR="00CE2C50" w:rsidRPr="004E70EF" w:rsidRDefault="00CE2C50" w:rsidP="00CE2C50">
            <w:pPr>
              <w:autoSpaceDE w:val="0"/>
              <w:autoSpaceDN w:val="0"/>
              <w:adjustRightInd w:val="0"/>
              <w:ind w:left="60" w:right="60"/>
              <w:rPr>
                <w:rFonts w:asciiTheme="majorBidi" w:hAnsiTheme="majorBidi" w:cstheme="majorBidi"/>
                <w:sz w:val="20"/>
                <w:szCs w:val="20"/>
                <w:lang w:val="tr-TR"/>
              </w:rPr>
            </w:pPr>
            <w:r>
              <w:rPr>
                <w:rFonts w:asciiTheme="majorBidi" w:hAnsiTheme="majorBidi" w:cstheme="majorBidi"/>
                <w:sz w:val="20"/>
                <w:szCs w:val="20"/>
                <w:lang w:val="tr-TR"/>
              </w:rPr>
              <w:t>5</w:t>
            </w:r>
          </w:p>
        </w:tc>
      </w:tr>
    </w:tbl>
    <w:p w:rsidR="00BB2F17" w:rsidRPr="009C6D6C" w:rsidRDefault="00BB2F17" w:rsidP="00BB2F17">
      <w:pPr>
        <w:spacing w:before="120" w:after="120" w:line="240" w:lineRule="auto"/>
        <w:rPr>
          <w:rFonts w:asciiTheme="majorBidi" w:hAnsiTheme="majorBidi" w:cstheme="majorBidi"/>
          <w:noProof/>
          <w:lang w:val="tr-TR"/>
        </w:rPr>
      </w:pPr>
    </w:p>
    <w:p w:rsidR="00BB2F17" w:rsidRDefault="00BB2F17" w:rsidP="00F612DA">
      <w:pPr>
        <w:spacing w:before="120" w:after="120" w:line="240" w:lineRule="auto"/>
        <w:ind w:firstLine="709"/>
        <w:jc w:val="center"/>
        <w:rPr>
          <w:rFonts w:asciiTheme="majorBidi" w:hAnsiTheme="majorBidi" w:cstheme="majorBidi"/>
          <w:b/>
          <w:bCs/>
          <w:noProof/>
          <w:lang w:val="tr-TR"/>
        </w:rPr>
      </w:pPr>
    </w:p>
    <w:p w:rsidR="00BB2F17" w:rsidRDefault="00BB2F17" w:rsidP="00F612DA">
      <w:pPr>
        <w:spacing w:before="120" w:after="120" w:line="240" w:lineRule="auto"/>
        <w:ind w:firstLine="709"/>
        <w:jc w:val="center"/>
        <w:rPr>
          <w:rFonts w:asciiTheme="majorBidi" w:hAnsiTheme="majorBidi" w:cstheme="majorBidi"/>
          <w:b/>
          <w:bCs/>
          <w:noProof/>
          <w:lang w:val="tr-TR"/>
        </w:rPr>
      </w:pPr>
    </w:p>
    <w:p w:rsidR="00CE2C50" w:rsidRDefault="00CE2C50" w:rsidP="00F612DA">
      <w:pPr>
        <w:spacing w:before="120" w:after="120" w:line="240" w:lineRule="auto"/>
        <w:ind w:firstLine="709"/>
        <w:jc w:val="center"/>
        <w:rPr>
          <w:rFonts w:asciiTheme="majorBidi" w:hAnsiTheme="majorBidi" w:cstheme="majorBidi"/>
          <w:b/>
          <w:bCs/>
          <w:noProof/>
          <w:lang w:val="tr-TR"/>
        </w:rPr>
      </w:pPr>
    </w:p>
    <w:p w:rsidR="00CE2C50" w:rsidRDefault="00CE2C50" w:rsidP="00F612DA">
      <w:pPr>
        <w:spacing w:before="120" w:after="120" w:line="240" w:lineRule="auto"/>
        <w:ind w:firstLine="709"/>
        <w:jc w:val="center"/>
        <w:rPr>
          <w:rFonts w:asciiTheme="majorBidi" w:hAnsiTheme="majorBidi" w:cstheme="majorBidi"/>
          <w:b/>
          <w:bCs/>
          <w:noProof/>
          <w:lang w:val="tr-TR"/>
        </w:rPr>
      </w:pPr>
    </w:p>
    <w:p w:rsidR="00CE2C50" w:rsidRDefault="00CE2C50" w:rsidP="00F612DA">
      <w:pPr>
        <w:spacing w:before="120" w:after="120" w:line="240" w:lineRule="auto"/>
        <w:ind w:firstLine="709"/>
        <w:jc w:val="center"/>
        <w:rPr>
          <w:rFonts w:asciiTheme="majorBidi" w:hAnsiTheme="majorBidi" w:cstheme="majorBidi"/>
          <w:b/>
          <w:bCs/>
          <w:noProof/>
          <w:lang w:val="tr-TR"/>
        </w:rPr>
      </w:pPr>
      <w:bookmarkStart w:id="0" w:name="_GoBack"/>
      <w:bookmarkEnd w:id="0"/>
    </w:p>
    <w:p w:rsidR="00474945" w:rsidRPr="009C6D6C" w:rsidRDefault="000B1998" w:rsidP="00F612DA">
      <w:pPr>
        <w:spacing w:before="120" w:after="120" w:line="240" w:lineRule="auto"/>
        <w:ind w:firstLine="709"/>
        <w:jc w:val="center"/>
        <w:rPr>
          <w:rFonts w:asciiTheme="majorBidi" w:hAnsiTheme="majorBidi" w:cstheme="majorBidi"/>
          <w:b/>
          <w:bCs/>
          <w:noProof/>
          <w:lang w:val="tr-TR"/>
        </w:rPr>
      </w:pPr>
      <w:r w:rsidRPr="009C6D6C">
        <w:rPr>
          <w:rFonts w:asciiTheme="majorBidi" w:hAnsiTheme="majorBidi" w:cstheme="majorBidi"/>
          <w:b/>
          <w:bCs/>
          <w:noProof/>
          <w:lang w:val="tr-TR"/>
        </w:rPr>
        <w:lastRenderedPageBreak/>
        <w:t>ÖLÇEK FORMUNUN GELİŞTİRİLME SÜRECİ</w:t>
      </w:r>
    </w:p>
    <w:p w:rsidR="000B1998" w:rsidRPr="009C6D6C" w:rsidRDefault="000B1998" w:rsidP="00F612DA">
      <w:pPr>
        <w:spacing w:before="120" w:after="120" w:line="240" w:lineRule="auto"/>
        <w:ind w:firstLine="709"/>
        <w:jc w:val="both"/>
        <w:rPr>
          <w:rFonts w:asciiTheme="majorBidi" w:hAnsiTheme="majorBidi" w:cstheme="majorBidi"/>
          <w:b/>
          <w:bCs/>
          <w:noProof/>
          <w:lang w:val="tr-TR"/>
        </w:rPr>
      </w:pPr>
    </w:p>
    <w:p w:rsidR="003E1571" w:rsidRPr="009C6D6C" w:rsidRDefault="003E1571" w:rsidP="00F612DA">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 xml:space="preserve">Öncelikle madde yazımı için, genel ilkelerden hareket etmek yoluyla, alana ilişkin alanyazındaki bilgilerden faydalanarak yapılan tümdengelim (deductive method) yöntemi seçilmiştir (Hinkin vd. 1997). Bu bağlamda,  sabır ile ilgili alanyazın taranmış ve sabır kelimesinin farklı sözlük ve araştırmalarda nasıl ifade edildiğine bakılmıştır. Sabır kelimesini tanımlayan alt boyutlar belirlenmiştir. Bu alt boyutlar; dayanmak, şikayet etmemek, sinirlenmemek, acele etmemek, beklemek şeklindedir. Daha sonra ölçeğin hedef kitlesi üniversite öğrencileri olduğundan dolayı üniversite öğrencilerinin yaşam alanları tespit edilmiştir. Bu yaşam alanları ise; sınıf, üniversite bahçesi, yemekhane, kütüphane, kantin, spor alanları, yurt, ulaşım araçları, sağlık hizmetleri ve bilgisayar salonu şeklinde belirlenmiştir. </w:t>
      </w:r>
    </w:p>
    <w:p w:rsidR="003E1571" w:rsidRPr="009C6D6C" w:rsidRDefault="003E1571" w:rsidP="00F612DA">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Bu yaşam alanlarında öğrencilerin sabrını zorlayacak durumlar üzerinde tartışılmış ve bu durumlar tespit edilmiştir. Daha sonra alanyazın neticesinde belirlenen herbir alt boyuta uygun olarak üniversite öğrencilerinin bütün yaşam alanlarını kapsayacak şekilde maddeler yazılmıştır. Alanyazın incelemesinden elde edilen bilgiler çerçevesinde 58 maddelik bir madde havuzu oluşturulmuştur. Maddeler hazırlanırken sabrın bileşenleri olan bilişsel, duyuşsal ve davranışsal alanları kapsayıcı ifadelerin yazılması konusunda özen gösterilmiştir. Ayrıca madde havuzu öğeleri belirlenirken, sabır ile ilgili bilinen diğer alternatif varsayımlara göre niteliği kapsayan olası tüm içeriği örnekleyecek şekilde oluşturulmasına dikkat edilmiştir. Bunun sebebi madde havuzunun hedef alandaki kuramsal çerçeveden daha kapsamlı olmasının gerektiği tavsiye edilmesidir (Clark and Watson,  1995).</w:t>
      </w:r>
    </w:p>
    <w:p w:rsidR="003E1571" w:rsidRPr="009C6D6C" w:rsidRDefault="003E1571" w:rsidP="00AA0EB7">
      <w:pPr>
        <w:spacing w:after="0" w:line="240" w:lineRule="auto"/>
        <w:ind w:firstLine="709"/>
        <w:jc w:val="both"/>
        <w:rPr>
          <w:rFonts w:asciiTheme="majorBidi" w:hAnsiTheme="majorBidi" w:cstheme="majorBidi"/>
          <w:noProof/>
          <w:lang w:val="tr-TR"/>
        </w:rPr>
      </w:pPr>
    </w:p>
    <w:p w:rsidR="003E1571" w:rsidRPr="009C6D6C" w:rsidRDefault="000B1998" w:rsidP="000B1998">
      <w:pPr>
        <w:spacing w:after="0" w:line="240" w:lineRule="auto"/>
        <w:jc w:val="both"/>
        <w:rPr>
          <w:rFonts w:asciiTheme="majorBidi" w:hAnsiTheme="majorBidi" w:cstheme="majorBidi"/>
          <w:b/>
          <w:bCs/>
          <w:noProof/>
          <w:lang w:val="tr-TR"/>
        </w:rPr>
      </w:pPr>
      <w:r w:rsidRPr="009C6D6C">
        <w:rPr>
          <w:rFonts w:asciiTheme="majorBidi" w:hAnsiTheme="majorBidi" w:cstheme="majorBidi"/>
          <w:b/>
          <w:bCs/>
          <w:noProof/>
          <w:lang w:val="tr-TR"/>
        </w:rPr>
        <w:t>Geçerlik Çalışmaları</w:t>
      </w:r>
    </w:p>
    <w:p w:rsidR="000B1998" w:rsidRPr="009C6D6C" w:rsidRDefault="000B1998" w:rsidP="000B1998">
      <w:pPr>
        <w:spacing w:after="0" w:line="240" w:lineRule="auto"/>
        <w:ind w:firstLine="709"/>
        <w:jc w:val="center"/>
        <w:rPr>
          <w:rFonts w:asciiTheme="majorBidi" w:hAnsiTheme="majorBidi" w:cstheme="majorBidi"/>
          <w:b/>
          <w:bCs/>
          <w:noProof/>
          <w:lang w:val="tr-TR"/>
        </w:rPr>
      </w:pPr>
    </w:p>
    <w:p w:rsidR="003E1571" w:rsidRPr="009C6D6C" w:rsidRDefault="003E1571" w:rsidP="000B1998">
      <w:pPr>
        <w:spacing w:after="0" w:line="240" w:lineRule="auto"/>
        <w:jc w:val="both"/>
        <w:rPr>
          <w:rFonts w:asciiTheme="majorBidi" w:hAnsiTheme="majorBidi" w:cstheme="majorBidi"/>
          <w:b/>
          <w:bCs/>
          <w:i/>
          <w:iCs/>
          <w:noProof/>
          <w:lang w:val="tr-TR"/>
        </w:rPr>
      </w:pPr>
      <w:r w:rsidRPr="009C6D6C">
        <w:rPr>
          <w:rFonts w:asciiTheme="majorBidi" w:hAnsiTheme="majorBidi" w:cstheme="majorBidi"/>
          <w:b/>
          <w:bCs/>
          <w:i/>
          <w:iCs/>
          <w:noProof/>
          <w:lang w:val="tr-TR"/>
        </w:rPr>
        <w:t>Kapsam Geçerliği</w:t>
      </w:r>
    </w:p>
    <w:p w:rsidR="000B1998" w:rsidRPr="009C6D6C" w:rsidRDefault="000B1998" w:rsidP="000B1998">
      <w:pPr>
        <w:pStyle w:val="a4"/>
        <w:spacing w:after="0" w:line="240" w:lineRule="auto"/>
        <w:ind w:left="1069"/>
        <w:jc w:val="both"/>
        <w:rPr>
          <w:rFonts w:asciiTheme="majorBidi" w:hAnsiTheme="majorBidi" w:cstheme="majorBidi"/>
          <w:b/>
          <w:bCs/>
          <w:noProof/>
          <w:lang w:val="tr-TR"/>
        </w:rPr>
      </w:pPr>
    </w:p>
    <w:p w:rsidR="003E1571" w:rsidRPr="009C6D6C" w:rsidRDefault="003E1571" w:rsidP="00F612DA">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Oluşturulan madde havuzu kapsam ve görünüş geçerliğinin sağlanması adına Psikolojik Danışma ve Rehberlik alanından beş uzmanın görüşüne sunulmuştur. Uzmanlar maddeleri ölçülecek özelliği temsil etmesi bakımından değerlendirmişlerdir. Uzman görüşlerinin değerlendirilmesinde Davis tekniğinden faydalanılmıştır. Davis tekniği uzman görüşlerinin (a) madde özelliği temsil ediyor, (b) biraz düzeltilmeli, (c) oldukça düzeltilmeli ve (d) madde özelliği temsil etmez şeklinde dörtlü derecelendirmeye tabi tutularak yapıldığı bir derecelendirme tekniğidir. Bu teknikte aday maddelerin her biri için uzmanlardan alınan formlardaki a ve b harflerinin toplamları, uzman sayısının toplamına bölünerek kapsam geçerlik indeksi elde edilir. Eğer bu değer 0,80’den büyük ise madde kapsam geçerliği bakımından yeterli olarak kabul edilir. Bu değerin altında yer alan maddeler ise ölçekten çıkarılır (Davis, 1992:196).</w:t>
      </w:r>
    </w:p>
    <w:p w:rsidR="003E1571" w:rsidRPr="009C6D6C" w:rsidRDefault="003E1571" w:rsidP="00F612DA">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Kapsam geçerliği çalışması sonucunda 0,80’den daha az değer alan toplamda 22 madde ölçekten çıkarılmıştır. Ölçme aracının son halinde toplam 36 ifade kalmıştır. Eleştirilen maddeler konusunda düzeltmeler yapılmıştır. Ayrıca uzmanlardan gelen formlardaki 58 madde de toplam uyuşum düzeyleri %90 olarak bulunmuştur.</w:t>
      </w:r>
    </w:p>
    <w:p w:rsidR="003E1571" w:rsidRPr="009C6D6C" w:rsidRDefault="003E1571" w:rsidP="00F612DA">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 xml:space="preserve">  Bir diğer aşama olan geçerlik ve güvenirlik çalışmalarını yapmak için seçilecek örneklem grubuna uygulamak üzere ön uygulama formu oluşturulmuştur. Ön uygulamanın yapılacağı örneklem grubunun özelliklerinin araştırmanın hedef kitlesinin özelliklerine benzemesi geçerli ve güvenilir sonuçlar elde edebilmek için son derece önem taşımaktadır (Büyüköztürk, 2005:143). Bundan dolayı ön uygulama için örneklem grubu olarak, araştırmanın hedef kitlesi olan üniversite öğrencileri belirlenmiştir.</w:t>
      </w:r>
    </w:p>
    <w:p w:rsidR="003E1571" w:rsidRPr="009C6D6C" w:rsidRDefault="003E1571" w:rsidP="00F612DA">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Ölçek beş der</w:t>
      </w:r>
      <w:r w:rsidR="00474945" w:rsidRPr="009C6D6C">
        <w:rPr>
          <w:rFonts w:asciiTheme="majorBidi" w:hAnsiTheme="majorBidi" w:cstheme="majorBidi"/>
          <w:noProof/>
          <w:lang w:val="tr-TR"/>
        </w:rPr>
        <w:t>e</w:t>
      </w:r>
      <w:r w:rsidRPr="009C6D6C">
        <w:rPr>
          <w:rFonts w:asciiTheme="majorBidi" w:hAnsiTheme="majorBidi" w:cstheme="majorBidi"/>
          <w:noProof/>
          <w:lang w:val="tr-TR"/>
        </w:rPr>
        <w:t>celi likert tipi olarak tasarlanmış ve “</w:t>
      </w:r>
      <w:r w:rsidR="00B075E1" w:rsidRPr="009C6D6C">
        <w:rPr>
          <w:rFonts w:asciiTheme="majorBidi" w:hAnsiTheme="majorBidi" w:cstheme="majorBidi"/>
          <w:noProof/>
          <w:lang w:val="tr-TR"/>
        </w:rPr>
        <w:t>Hiç</w:t>
      </w:r>
      <w:r w:rsidR="00474945" w:rsidRPr="009C6D6C">
        <w:rPr>
          <w:rFonts w:asciiTheme="majorBidi" w:hAnsiTheme="majorBidi" w:cstheme="majorBidi"/>
          <w:noProof/>
          <w:lang w:val="tr-TR"/>
        </w:rPr>
        <w:t xml:space="preserve"> Katılmıyorum</w:t>
      </w:r>
      <w:r w:rsidRPr="009C6D6C">
        <w:rPr>
          <w:rFonts w:asciiTheme="majorBidi" w:hAnsiTheme="majorBidi" w:cstheme="majorBidi"/>
          <w:noProof/>
          <w:lang w:val="tr-TR"/>
        </w:rPr>
        <w:t>”, “</w:t>
      </w:r>
      <w:r w:rsidR="00B075E1" w:rsidRPr="009C6D6C">
        <w:rPr>
          <w:rFonts w:asciiTheme="majorBidi" w:hAnsiTheme="majorBidi" w:cstheme="majorBidi"/>
          <w:noProof/>
          <w:lang w:val="tr-TR"/>
        </w:rPr>
        <w:t xml:space="preserve">Az </w:t>
      </w:r>
      <w:r w:rsidR="00474945" w:rsidRPr="009C6D6C">
        <w:rPr>
          <w:rFonts w:asciiTheme="majorBidi" w:hAnsiTheme="majorBidi" w:cstheme="majorBidi"/>
          <w:noProof/>
          <w:lang w:val="tr-TR"/>
        </w:rPr>
        <w:t>Katılmıyorum</w:t>
      </w:r>
      <w:r w:rsidRPr="009C6D6C">
        <w:rPr>
          <w:rFonts w:asciiTheme="majorBidi" w:hAnsiTheme="majorBidi" w:cstheme="majorBidi"/>
          <w:noProof/>
          <w:lang w:val="tr-TR"/>
        </w:rPr>
        <w:t>”, “</w:t>
      </w:r>
      <w:r w:rsidR="00B075E1" w:rsidRPr="009C6D6C">
        <w:rPr>
          <w:rFonts w:asciiTheme="majorBidi" w:hAnsiTheme="majorBidi" w:cstheme="majorBidi"/>
          <w:noProof/>
          <w:lang w:val="tr-TR"/>
        </w:rPr>
        <w:t>Kısmen Katılıyorum</w:t>
      </w:r>
      <w:r w:rsidRPr="009C6D6C">
        <w:rPr>
          <w:rFonts w:asciiTheme="majorBidi" w:hAnsiTheme="majorBidi" w:cstheme="majorBidi"/>
          <w:noProof/>
          <w:lang w:val="tr-TR"/>
        </w:rPr>
        <w:t>”, “</w:t>
      </w:r>
      <w:r w:rsidR="00B075E1" w:rsidRPr="009C6D6C">
        <w:rPr>
          <w:rFonts w:asciiTheme="majorBidi" w:hAnsiTheme="majorBidi" w:cstheme="majorBidi"/>
          <w:noProof/>
          <w:lang w:val="tr-TR"/>
        </w:rPr>
        <w:t xml:space="preserve">Oldukça </w:t>
      </w:r>
      <w:r w:rsidR="00474945" w:rsidRPr="009C6D6C">
        <w:rPr>
          <w:rFonts w:asciiTheme="majorBidi" w:hAnsiTheme="majorBidi" w:cstheme="majorBidi"/>
          <w:noProof/>
          <w:lang w:val="tr-TR"/>
        </w:rPr>
        <w:t>Katılıyorum</w:t>
      </w:r>
      <w:r w:rsidRPr="009C6D6C">
        <w:rPr>
          <w:rFonts w:asciiTheme="majorBidi" w:hAnsiTheme="majorBidi" w:cstheme="majorBidi"/>
          <w:noProof/>
          <w:lang w:val="tr-TR"/>
        </w:rPr>
        <w:t>” ve “</w:t>
      </w:r>
      <w:r w:rsidR="00474945" w:rsidRPr="009C6D6C">
        <w:rPr>
          <w:rFonts w:asciiTheme="majorBidi" w:hAnsiTheme="majorBidi" w:cstheme="majorBidi"/>
          <w:noProof/>
          <w:lang w:val="tr-TR"/>
        </w:rPr>
        <w:t>Tamamen Katılıyorum</w:t>
      </w:r>
      <w:r w:rsidRPr="009C6D6C">
        <w:rPr>
          <w:rFonts w:asciiTheme="majorBidi" w:hAnsiTheme="majorBidi" w:cstheme="majorBidi"/>
          <w:noProof/>
          <w:lang w:val="tr-TR"/>
        </w:rPr>
        <w:t>” şeklinde cevaplayıcının kendisine uygun olarak seçebileceği seçenekler belirlenmiştir. Ölçek ifadelerinin puanlanması aşamasında</w:t>
      </w:r>
      <w:r w:rsidR="00474945" w:rsidRPr="009C6D6C">
        <w:rPr>
          <w:rFonts w:asciiTheme="majorBidi" w:hAnsiTheme="majorBidi" w:cstheme="majorBidi"/>
          <w:noProof/>
          <w:lang w:val="tr-TR"/>
        </w:rPr>
        <w:t xml:space="preserve"> </w:t>
      </w:r>
      <w:r w:rsidRPr="009C6D6C">
        <w:rPr>
          <w:rFonts w:asciiTheme="majorBidi" w:hAnsiTheme="majorBidi" w:cstheme="majorBidi"/>
          <w:noProof/>
          <w:lang w:val="tr-TR"/>
        </w:rPr>
        <w:t>her bir madde için “</w:t>
      </w:r>
      <w:r w:rsidR="00185468" w:rsidRPr="009C6D6C">
        <w:rPr>
          <w:rFonts w:asciiTheme="majorBidi" w:hAnsiTheme="majorBidi" w:cstheme="majorBidi"/>
          <w:noProof/>
          <w:lang w:val="tr-TR"/>
        </w:rPr>
        <w:t>Hiç</w:t>
      </w:r>
      <w:r w:rsidR="00474945" w:rsidRPr="009C6D6C">
        <w:rPr>
          <w:rFonts w:asciiTheme="majorBidi" w:hAnsiTheme="majorBidi" w:cstheme="majorBidi"/>
          <w:noProof/>
          <w:lang w:val="tr-TR"/>
        </w:rPr>
        <w:t xml:space="preserve"> Katılmıyorum</w:t>
      </w:r>
      <w:r w:rsidRPr="009C6D6C">
        <w:rPr>
          <w:rFonts w:asciiTheme="majorBidi" w:hAnsiTheme="majorBidi" w:cstheme="majorBidi"/>
          <w:noProof/>
          <w:lang w:val="tr-TR"/>
        </w:rPr>
        <w:t>” ifadesinden başlayarak 1’den 5’e doğru numaralar verilmiştir.</w:t>
      </w:r>
    </w:p>
    <w:p w:rsidR="003E1571" w:rsidRPr="009C6D6C" w:rsidRDefault="003E1571" w:rsidP="00F612DA">
      <w:pPr>
        <w:spacing w:before="120" w:after="120" w:line="240" w:lineRule="auto"/>
        <w:ind w:firstLine="709"/>
        <w:jc w:val="both"/>
        <w:rPr>
          <w:rFonts w:asciiTheme="majorBidi" w:hAnsiTheme="majorBidi" w:cstheme="majorBidi"/>
          <w:noProof/>
          <w:lang w:val="tr-TR"/>
        </w:rPr>
      </w:pPr>
    </w:p>
    <w:p w:rsidR="003E1571" w:rsidRPr="009C6D6C" w:rsidRDefault="003E1571" w:rsidP="00F612DA">
      <w:pPr>
        <w:spacing w:before="120" w:after="120" w:line="240" w:lineRule="auto"/>
        <w:jc w:val="both"/>
        <w:rPr>
          <w:rFonts w:asciiTheme="majorBidi" w:hAnsiTheme="majorBidi" w:cstheme="majorBidi"/>
          <w:b/>
          <w:bCs/>
          <w:i/>
          <w:iCs/>
          <w:noProof/>
          <w:lang w:val="tr-TR"/>
        </w:rPr>
      </w:pPr>
      <w:r w:rsidRPr="009C6D6C">
        <w:rPr>
          <w:rFonts w:asciiTheme="majorBidi" w:hAnsiTheme="majorBidi" w:cstheme="majorBidi"/>
          <w:b/>
          <w:bCs/>
          <w:i/>
          <w:iCs/>
          <w:noProof/>
          <w:lang w:val="tr-TR"/>
        </w:rPr>
        <w:t>Ön uygulama</w:t>
      </w:r>
    </w:p>
    <w:p w:rsidR="000B1998" w:rsidRPr="009C6D6C" w:rsidRDefault="000B1998" w:rsidP="00F612DA">
      <w:pPr>
        <w:spacing w:before="120" w:after="120" w:line="240" w:lineRule="auto"/>
        <w:ind w:firstLine="709"/>
        <w:jc w:val="both"/>
        <w:rPr>
          <w:rFonts w:asciiTheme="majorBidi" w:hAnsiTheme="majorBidi" w:cstheme="majorBidi"/>
          <w:b/>
          <w:bCs/>
          <w:noProof/>
          <w:lang w:val="tr-TR"/>
        </w:rPr>
      </w:pPr>
    </w:p>
    <w:p w:rsidR="003E1571" w:rsidRPr="009C6D6C" w:rsidRDefault="003E1571" w:rsidP="00F612DA">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 xml:space="preserve">İlk etapta madde seçimimizi gerçekleştirebilmek için 47 kişiden oluşan Kırgız Türk Manas Üniversitesi’nin Meslek Yüksek Okulu’nda öğrenim gören öğrencilere pilot uygulama yapılmıştır. Öğrencilerin tarafından </w:t>
      </w:r>
      <w:r w:rsidRPr="009C6D6C">
        <w:rPr>
          <w:rFonts w:asciiTheme="majorBidi" w:hAnsiTheme="majorBidi" w:cstheme="majorBidi"/>
          <w:noProof/>
          <w:lang w:val="tr-TR"/>
        </w:rPr>
        <w:lastRenderedPageBreak/>
        <w:t xml:space="preserve">maddelerin anlaşılamasına veya anlaşılma zorluğu olup olmadığına bakılmıştır. Maddelerin tamamının öğrenciler anlaşıldığı görülmüştür. </w:t>
      </w:r>
    </w:p>
    <w:p w:rsidR="003E1571" w:rsidRPr="009C6D6C" w:rsidRDefault="003E1571" w:rsidP="00F612DA">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Madde seçiminin ilk aşaması olarak testin küçük bir gruba (n</w:t>
      </w:r>
      <w:r w:rsidRPr="009C6D6C">
        <w:rPr>
          <w:rFonts w:asciiTheme="majorBidi" w:hAnsiTheme="majorBidi" w:cstheme="majorBidi"/>
          <w:noProof/>
          <w:lang w:val="tr-TR" w:bidi="ar-EG"/>
        </w:rPr>
        <w:t>=47</w:t>
      </w:r>
      <w:r w:rsidRPr="009C6D6C">
        <w:rPr>
          <w:rFonts w:asciiTheme="majorBidi" w:hAnsiTheme="majorBidi" w:cstheme="majorBidi"/>
          <w:noProof/>
          <w:lang w:val="tr-TR"/>
        </w:rPr>
        <w:t>) uygulanması sonrası, psikometrik özellikler açısından, hangi maddelerin daha uygun olduğunu belirlemek amacıyla istatistiksel analizler yapılmıştır. Öncelikle uygulanan ölçeğin istatistik işlemleri kolaylaştırıcı ve karışıklığı önleyici uygun formata dönüştürülmesi işlemi tamamlanmıştır. Her bir öğrenciye ait olan satırdaki maddelere vermiş oldukları yanıtların puanları toplanmış ve her bir öğrencinin ölçekten aldığı toplam puan hesaplanmıştır. Buna göre ön uygulama sonrasında en yüksek puan alan öğrencinin 174; en düşün puan alan öğrencinin ise 94 puan aldığı görülmüştür.</w:t>
      </w:r>
    </w:p>
    <w:p w:rsidR="003E1571" w:rsidRPr="009C6D6C" w:rsidRDefault="003E1571" w:rsidP="00F612DA">
      <w:pPr>
        <w:spacing w:before="120" w:after="120" w:line="240" w:lineRule="auto"/>
        <w:ind w:firstLine="709"/>
        <w:jc w:val="both"/>
        <w:rPr>
          <w:rFonts w:asciiTheme="majorBidi" w:hAnsiTheme="majorBidi" w:cstheme="majorBidi"/>
          <w:i/>
          <w:iCs/>
          <w:noProof/>
          <w:lang w:val="tr-TR"/>
        </w:rPr>
      </w:pPr>
    </w:p>
    <w:p w:rsidR="003E1571" w:rsidRPr="009C6D6C" w:rsidRDefault="003E1571" w:rsidP="000B1998">
      <w:pPr>
        <w:spacing w:after="0" w:line="240" w:lineRule="auto"/>
        <w:jc w:val="both"/>
        <w:rPr>
          <w:rFonts w:asciiTheme="majorBidi" w:hAnsiTheme="majorBidi" w:cstheme="majorBidi"/>
          <w:b/>
          <w:bCs/>
          <w:i/>
          <w:iCs/>
          <w:noProof/>
          <w:lang w:val="tr-TR"/>
        </w:rPr>
      </w:pPr>
      <w:r w:rsidRPr="009C6D6C">
        <w:rPr>
          <w:rFonts w:asciiTheme="majorBidi" w:hAnsiTheme="majorBidi" w:cstheme="majorBidi"/>
          <w:b/>
          <w:bCs/>
          <w:i/>
          <w:iCs/>
          <w:noProof/>
          <w:lang w:val="tr-TR"/>
        </w:rPr>
        <w:t>Yapı geçerliği</w:t>
      </w:r>
    </w:p>
    <w:p w:rsidR="000B1998" w:rsidRPr="009C6D6C" w:rsidRDefault="000B1998" w:rsidP="000B1998">
      <w:pPr>
        <w:spacing w:after="0" w:line="240" w:lineRule="auto"/>
        <w:ind w:left="709"/>
        <w:jc w:val="both"/>
        <w:rPr>
          <w:rFonts w:asciiTheme="majorBidi" w:hAnsiTheme="majorBidi" w:cstheme="majorBidi"/>
          <w:b/>
          <w:bCs/>
          <w:noProof/>
          <w:lang w:val="tr-TR"/>
        </w:rPr>
      </w:pPr>
    </w:p>
    <w:p w:rsidR="003E1571" w:rsidRPr="009C6D6C" w:rsidRDefault="003E1571" w:rsidP="00F612DA">
      <w:pPr>
        <w:autoSpaceDE w:val="0"/>
        <w:autoSpaceDN w:val="0"/>
        <w:adjustRightInd w:val="0"/>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 xml:space="preserve">Örneklemden elde edilen verilerin yeterliğini belirlemek üzere Kaiser-Meyer-Olkin (KMO) testi yapılmıştır. </w:t>
      </w:r>
    </w:p>
    <w:p w:rsidR="003E1571" w:rsidRPr="009C6D6C" w:rsidRDefault="003E1571" w:rsidP="00F612DA">
      <w:pPr>
        <w:autoSpaceDE w:val="0"/>
        <w:autoSpaceDN w:val="0"/>
        <w:adjustRightInd w:val="0"/>
        <w:spacing w:before="120" w:after="120" w:line="240" w:lineRule="auto"/>
        <w:jc w:val="both"/>
        <w:rPr>
          <w:rFonts w:asciiTheme="majorBidi" w:hAnsiTheme="majorBidi" w:cstheme="majorBidi"/>
          <w:noProof/>
          <w:lang w:val="tr-TR"/>
        </w:rPr>
      </w:pPr>
      <w:r w:rsidRPr="009C6D6C">
        <w:rPr>
          <w:rFonts w:ascii="Times New Roman" w:hAnsi="Times New Roman" w:cs="Times New Roman"/>
          <w:noProof/>
          <w:lang w:val="tr-TR"/>
        </w:rPr>
        <w:t xml:space="preserve">Geliştirilmekte olan Üniversite Öğrencileri Sabır Ölçeği’ne ait KMO test değeri 0,93 olarak hesaplanmış olup, bu değere göre ölçekten elde edilen ölçümlerin faktör analizi için uygun olduğu anlaşılmıştır. </w:t>
      </w:r>
      <w:r w:rsidRPr="009C6D6C">
        <w:rPr>
          <w:rFonts w:asciiTheme="majorBidi" w:hAnsiTheme="majorBidi" w:cstheme="majorBidi"/>
          <w:noProof/>
          <w:lang w:val="tr-TR"/>
        </w:rPr>
        <w:t>Elde edilen verilere Bartlett testinin uygulanması sonucunda hesaplanan Kikare(Chi-Square) test istatistiğinin anlamlı çıkması, elde edilen verilerin normal dağılım özelliğine sahip olduğu anlamına gelmektedir. Yapılan analiz sonucunda, Ki-kare (Chi-Square) test istatistiği 3007,363; ve Bartlett testinin p&lt;0,5 anlamlı çıkması verilerin temel bileşenler analizi için uygun olduğunu göstermiştir.</w:t>
      </w:r>
    </w:p>
    <w:p w:rsidR="003E1571" w:rsidRPr="009C6D6C" w:rsidRDefault="003E1571" w:rsidP="00F612DA">
      <w:pPr>
        <w:autoSpaceDE w:val="0"/>
        <w:autoSpaceDN w:val="0"/>
        <w:adjustRightInd w:val="0"/>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Yapılan araştırmada; oluşturulacak faktör sayısı için değişkenlere ait Eigenvalues ve Scree Plot eğrisi kullanılmıştır. Elde edilen veriler üzerinde yapılan Temel Bileşenler Analizine (Principal Componenets Analysis) ait sonuçlar aşağıda verilmiştir.</w:t>
      </w:r>
    </w:p>
    <w:p w:rsidR="003E1571" w:rsidRPr="009C6D6C" w:rsidRDefault="003E1571" w:rsidP="00F612DA">
      <w:pPr>
        <w:autoSpaceDE w:val="0"/>
        <w:autoSpaceDN w:val="0"/>
        <w:adjustRightInd w:val="0"/>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Yapılan ilk temel bileşenler analizinde, türetilecek faktör sayısında herhangi bir sınırlama yapılmamış ve eigen değeri 1.00 den büyük 7 faktör belirlenmiştir. Ortaya çıkan 7 faktörün açıklanan toplam varyans miktarı ise % 60.44’tür. Bu işlemin ardından Varimax Dik Döndürme Tekniği kullanılarak maddelerin faktörlere dağılımına bakılmış ve bazı maddelerin birden fazla faktörde yüksek değer (&lt;.30) aldığı görülmüştür. Birden fazla faktörden 0.30’dan fazla yük alan maddelerde, yük farkının miktarına bakılmış, bu farkın %10’dan daha düşük olduğu maddeler elenmiştir (Büyüköztürk, 2016). Bu etapta sırasıyla 1., 2., 3., 4., 7., 9., 10., 11., 12., 13., 16., 19., 20.</w:t>
      </w:r>
      <w:r w:rsidR="00A5196C" w:rsidRPr="009C6D6C">
        <w:rPr>
          <w:rFonts w:asciiTheme="majorBidi" w:hAnsiTheme="majorBidi" w:cstheme="majorBidi"/>
          <w:noProof/>
          <w:lang w:val="tr-TR"/>
        </w:rPr>
        <w:t>, 21.</w:t>
      </w:r>
      <w:r w:rsidRPr="009C6D6C">
        <w:rPr>
          <w:rFonts w:asciiTheme="majorBidi" w:hAnsiTheme="majorBidi" w:cstheme="majorBidi"/>
          <w:noProof/>
          <w:lang w:val="tr-TR"/>
        </w:rPr>
        <w:t xml:space="preserve"> ve 36. maddeler ölçekten cıkarılarak analiz yeniden yapılmıştır. B</w:t>
      </w:r>
      <w:r w:rsidR="00A5196C" w:rsidRPr="009C6D6C">
        <w:rPr>
          <w:rFonts w:asciiTheme="majorBidi" w:hAnsiTheme="majorBidi" w:cstheme="majorBidi"/>
          <w:noProof/>
          <w:lang w:val="tr-TR"/>
        </w:rPr>
        <w:t>öylece ölçek maddeleri 36’dan 21</w:t>
      </w:r>
      <w:r w:rsidRPr="009C6D6C">
        <w:rPr>
          <w:rFonts w:asciiTheme="majorBidi" w:hAnsiTheme="majorBidi" w:cstheme="majorBidi"/>
          <w:noProof/>
          <w:lang w:val="tr-TR"/>
        </w:rPr>
        <w:t>’e inmiştir.</w:t>
      </w:r>
    </w:p>
    <w:p w:rsidR="003E1571" w:rsidRPr="009C6D6C" w:rsidRDefault="003E1571" w:rsidP="00F612DA">
      <w:pPr>
        <w:autoSpaceDE w:val="0"/>
        <w:autoSpaceDN w:val="0"/>
        <w:adjustRightInd w:val="0"/>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Varimax Dik Döndürme Tekniği kullanılarak maddelerin faktörlere dağılımına bakıldığında ölçeğin özdeğeri 1’den büyük 3 faktörde toplandığı, tüm maddelerin girdikleri faktörde kabul edilebilir yük değerlerine sahip (en düşük madde yük değerinin 0.555; en yüksek madde yük değerinin 0.856) olduğu görülmüştür.</w:t>
      </w:r>
    </w:p>
    <w:p w:rsidR="003E1571" w:rsidRPr="009C6D6C" w:rsidRDefault="003E1571" w:rsidP="00AA0EB7">
      <w:pPr>
        <w:autoSpaceDE w:val="0"/>
        <w:autoSpaceDN w:val="0"/>
        <w:adjustRightInd w:val="0"/>
        <w:spacing w:after="0" w:line="240" w:lineRule="auto"/>
        <w:ind w:firstLine="708"/>
        <w:jc w:val="both"/>
        <w:rPr>
          <w:rFonts w:asciiTheme="majorBidi" w:hAnsiTheme="majorBidi" w:cstheme="majorBidi"/>
          <w:noProof/>
          <w:lang w:val="tr-TR"/>
        </w:rPr>
      </w:pPr>
    </w:p>
    <w:p w:rsidR="003E1571" w:rsidRPr="009C6D6C" w:rsidRDefault="003E1571" w:rsidP="00AA0EB7">
      <w:pPr>
        <w:spacing w:after="0" w:line="240" w:lineRule="auto"/>
        <w:jc w:val="both"/>
        <w:rPr>
          <w:rFonts w:asciiTheme="majorBidi" w:hAnsiTheme="majorBidi" w:cstheme="majorBidi"/>
          <w:noProof/>
          <w:lang w:val="tr-TR"/>
        </w:rPr>
      </w:pPr>
    </w:p>
    <w:p w:rsidR="003E1571" w:rsidRPr="009C6D6C" w:rsidRDefault="003E1571" w:rsidP="000B1998">
      <w:pPr>
        <w:autoSpaceDE w:val="0"/>
        <w:autoSpaceDN w:val="0"/>
        <w:adjustRightInd w:val="0"/>
        <w:spacing w:after="0" w:line="240" w:lineRule="auto"/>
        <w:ind w:firstLine="709"/>
        <w:jc w:val="center"/>
        <w:rPr>
          <w:rFonts w:ascii="Times New Roman" w:hAnsi="Times New Roman" w:cs="Times New Roman"/>
          <w:b/>
          <w:bCs/>
          <w:noProof/>
          <w:lang w:val="tr-TR"/>
        </w:rPr>
      </w:pPr>
      <w:r w:rsidRPr="009C6D6C">
        <w:rPr>
          <w:rFonts w:ascii="Times New Roman" w:hAnsi="Times New Roman" w:cs="Times New Roman"/>
          <w:b/>
          <w:bCs/>
          <w:noProof/>
          <w:lang w:val="tr-TR"/>
        </w:rPr>
        <w:t>Tablo 1. Faktör Analizi Sonrası Dönüştürülmüş Bileşenler Matrisi</w:t>
      </w:r>
      <w:r w:rsidR="007507E1" w:rsidRPr="009C6D6C">
        <w:rPr>
          <w:rFonts w:ascii="Times New Roman" w:hAnsi="Times New Roman" w:cs="Times New Roman"/>
          <w:b/>
          <w:bCs/>
          <w:noProof/>
          <w:lang w:val="tr-TR"/>
        </w:rPr>
        <w:t xml:space="preserve"> Faktör Yükleri</w:t>
      </w:r>
    </w:p>
    <w:p w:rsidR="000B1998" w:rsidRPr="009C6D6C" w:rsidRDefault="000B1998" w:rsidP="00AA0EB7">
      <w:pPr>
        <w:autoSpaceDE w:val="0"/>
        <w:autoSpaceDN w:val="0"/>
        <w:adjustRightInd w:val="0"/>
        <w:spacing w:after="0" w:line="240" w:lineRule="auto"/>
        <w:ind w:firstLine="709"/>
        <w:rPr>
          <w:rFonts w:ascii="Times New Roman" w:hAnsi="Times New Roman" w:cs="Times New Roman"/>
          <w:b/>
          <w:bCs/>
          <w:noProof/>
          <w:lang w:val="tr-TR"/>
        </w:rPr>
      </w:pPr>
    </w:p>
    <w:tbl>
      <w:tblPr>
        <w:tblStyle w:val="2"/>
        <w:tblW w:w="0" w:type="auto"/>
        <w:tblLook w:val="04A0" w:firstRow="1" w:lastRow="0" w:firstColumn="1" w:lastColumn="0" w:noHBand="0" w:noVBand="1"/>
      </w:tblPr>
      <w:tblGrid>
        <w:gridCol w:w="536"/>
        <w:gridCol w:w="6727"/>
        <w:gridCol w:w="707"/>
        <w:gridCol w:w="651"/>
        <w:gridCol w:w="706"/>
      </w:tblGrid>
      <w:tr w:rsidR="00FE0BF4" w:rsidRPr="004E70EF" w:rsidTr="00FA42E5">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AA0EB7">
            <w:pPr>
              <w:autoSpaceDE w:val="0"/>
              <w:autoSpaceDN w:val="0"/>
              <w:adjustRightInd w:val="0"/>
              <w:jc w:val="center"/>
              <w:rPr>
                <w:rFonts w:asciiTheme="majorBidi" w:hAnsiTheme="majorBidi" w:cstheme="majorBidi"/>
                <w:noProof/>
                <w:sz w:val="18"/>
                <w:szCs w:val="18"/>
                <w:lang w:val="tr-TR"/>
              </w:rPr>
            </w:pPr>
            <w:r>
              <w:rPr>
                <w:rFonts w:asciiTheme="majorBidi" w:hAnsiTheme="majorBidi" w:cstheme="majorBidi"/>
                <w:noProof/>
                <w:sz w:val="18"/>
                <w:szCs w:val="18"/>
                <w:lang w:val="tr-TR"/>
              </w:rPr>
              <w:t>No</w:t>
            </w:r>
          </w:p>
        </w:tc>
        <w:tc>
          <w:tcPr>
            <w:tcW w:w="6727" w:type="dxa"/>
          </w:tcPr>
          <w:p w:rsidR="00FE0BF4" w:rsidRPr="00FA42E5" w:rsidRDefault="00FA42E5" w:rsidP="00AA0EB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FA42E5">
              <w:rPr>
                <w:rFonts w:asciiTheme="majorBidi" w:hAnsiTheme="majorBidi" w:cstheme="majorBidi"/>
                <w:noProof/>
                <w:sz w:val="18"/>
                <w:szCs w:val="18"/>
                <w:lang w:val="tr-TR"/>
              </w:rPr>
              <w:t>Madde</w:t>
            </w:r>
          </w:p>
        </w:tc>
        <w:tc>
          <w:tcPr>
            <w:tcW w:w="707" w:type="dxa"/>
          </w:tcPr>
          <w:p w:rsidR="00FE0BF4" w:rsidRPr="00FA42E5" w:rsidRDefault="00FE0BF4" w:rsidP="00AA0EB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FA42E5">
              <w:rPr>
                <w:rFonts w:asciiTheme="majorBidi" w:hAnsiTheme="majorBidi" w:cstheme="majorBidi"/>
                <w:noProof/>
                <w:sz w:val="18"/>
                <w:szCs w:val="18"/>
                <w:lang w:val="tr-TR"/>
              </w:rPr>
              <w:t>1</w:t>
            </w:r>
          </w:p>
        </w:tc>
        <w:tc>
          <w:tcPr>
            <w:tcW w:w="651" w:type="dxa"/>
          </w:tcPr>
          <w:p w:rsidR="00FE0BF4" w:rsidRPr="00FA42E5" w:rsidRDefault="00FE0BF4" w:rsidP="00AA0EB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FA42E5">
              <w:rPr>
                <w:rFonts w:asciiTheme="majorBidi" w:hAnsiTheme="majorBidi" w:cstheme="majorBidi"/>
                <w:noProof/>
                <w:sz w:val="18"/>
                <w:szCs w:val="18"/>
                <w:lang w:val="tr-TR"/>
              </w:rPr>
              <w:t>2</w:t>
            </w:r>
          </w:p>
        </w:tc>
        <w:tc>
          <w:tcPr>
            <w:tcW w:w="706" w:type="dxa"/>
          </w:tcPr>
          <w:p w:rsidR="00FE0BF4" w:rsidRPr="00FA42E5" w:rsidRDefault="00FE0BF4" w:rsidP="00AA0EB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FA42E5">
              <w:rPr>
                <w:rFonts w:asciiTheme="majorBidi" w:hAnsiTheme="majorBidi" w:cstheme="majorBidi"/>
                <w:noProof/>
                <w:sz w:val="18"/>
                <w:szCs w:val="18"/>
                <w:lang w:val="tr-TR"/>
              </w:rPr>
              <w:t>3</w:t>
            </w: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8" w:type="dxa"/>
          </w:tcPr>
          <w:p w:rsidR="00FE0BF4" w:rsidRPr="00FE0BF4" w:rsidRDefault="00FE0BF4" w:rsidP="00AA0EB7">
            <w:pPr>
              <w:autoSpaceDE w:val="0"/>
              <w:autoSpaceDN w:val="0"/>
              <w:adjustRightInd w:val="0"/>
              <w:ind w:left="60" w:right="60"/>
              <w:rPr>
                <w:rFonts w:asciiTheme="majorBidi" w:hAnsiTheme="majorBidi" w:cstheme="majorBidi"/>
                <w:b w:val="0"/>
                <w:bCs w:val="0"/>
                <w:sz w:val="20"/>
                <w:szCs w:val="20"/>
                <w:lang w:val="tr-TR"/>
              </w:rPr>
            </w:pPr>
            <w:r w:rsidRPr="00FE0BF4">
              <w:rPr>
                <w:rFonts w:asciiTheme="majorBidi" w:hAnsiTheme="majorBidi" w:cstheme="majorBidi"/>
                <w:b w:val="0"/>
                <w:bCs w:val="0"/>
                <w:sz w:val="20"/>
                <w:szCs w:val="20"/>
                <w:lang w:val="tr-TR"/>
              </w:rPr>
              <w:t>1</w:t>
            </w:r>
          </w:p>
        </w:tc>
        <w:tc>
          <w:tcPr>
            <w:tcW w:w="6727" w:type="dxa"/>
          </w:tcPr>
          <w:p w:rsidR="00FE0BF4" w:rsidRPr="004E70EF" w:rsidRDefault="00FE0BF4" w:rsidP="00AA0EB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0"/>
                <w:szCs w:val="20"/>
                <w:lang w:val="tr-TR"/>
              </w:rPr>
            </w:pPr>
            <w:r w:rsidRPr="004E70EF">
              <w:rPr>
                <w:rFonts w:asciiTheme="majorBidi" w:hAnsiTheme="majorBidi" w:cstheme="majorBidi"/>
                <w:sz w:val="20"/>
                <w:szCs w:val="20"/>
                <w:lang w:val="tr-TR"/>
              </w:rPr>
              <w:t>Ak</w:t>
            </w:r>
            <w:r w:rsidR="00FA42E5">
              <w:rPr>
                <w:rFonts w:asciiTheme="majorBidi" w:hAnsiTheme="majorBidi" w:cstheme="majorBidi"/>
                <w:sz w:val="20"/>
                <w:szCs w:val="20"/>
                <w:lang w:val="tr-TR"/>
              </w:rPr>
              <w:t>ademik çalışmalarımda zorluklar</w:t>
            </w:r>
            <w:r w:rsidRPr="004E70EF">
              <w:rPr>
                <w:rFonts w:asciiTheme="majorBidi" w:hAnsiTheme="majorBidi" w:cstheme="majorBidi"/>
                <w:sz w:val="20"/>
                <w:szCs w:val="20"/>
                <w:lang w:val="tr-TR"/>
              </w:rPr>
              <w:t>la karşılaştığımda sabrederim</w:t>
            </w:r>
          </w:p>
        </w:tc>
        <w:tc>
          <w:tcPr>
            <w:tcW w:w="707" w:type="dxa"/>
          </w:tcPr>
          <w:p w:rsidR="00FE0BF4" w:rsidRPr="004E70EF" w:rsidRDefault="00FE0BF4"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,857</w:t>
            </w:r>
          </w:p>
        </w:tc>
        <w:tc>
          <w:tcPr>
            <w:tcW w:w="651"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FE0BF4" w:rsidRDefault="00FE0BF4" w:rsidP="00AA0EB7">
            <w:pPr>
              <w:autoSpaceDE w:val="0"/>
              <w:autoSpaceDN w:val="0"/>
              <w:adjustRightInd w:val="0"/>
              <w:ind w:left="60" w:right="60"/>
              <w:rPr>
                <w:rFonts w:asciiTheme="majorBidi" w:hAnsiTheme="majorBidi" w:cstheme="majorBidi"/>
                <w:b w:val="0"/>
                <w:bCs w:val="0"/>
                <w:sz w:val="20"/>
                <w:szCs w:val="20"/>
                <w:lang w:val="tr-TR"/>
              </w:rPr>
            </w:pPr>
            <w:r w:rsidRPr="00FE0BF4">
              <w:rPr>
                <w:rFonts w:asciiTheme="majorBidi" w:hAnsiTheme="majorBidi" w:cstheme="majorBidi"/>
                <w:b w:val="0"/>
                <w:bCs w:val="0"/>
                <w:sz w:val="20"/>
                <w:szCs w:val="20"/>
                <w:lang w:val="tr-TR"/>
              </w:rPr>
              <w:t>2</w:t>
            </w:r>
          </w:p>
        </w:tc>
        <w:tc>
          <w:tcPr>
            <w:tcW w:w="6727" w:type="dxa"/>
          </w:tcPr>
          <w:p w:rsidR="00FE0BF4" w:rsidRPr="004E70EF" w:rsidRDefault="00FE0BF4" w:rsidP="00AA0EB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0"/>
                <w:szCs w:val="20"/>
                <w:lang w:val="tr-TR"/>
              </w:rPr>
            </w:pPr>
            <w:r w:rsidRPr="004E70EF">
              <w:rPr>
                <w:rFonts w:asciiTheme="majorBidi" w:hAnsiTheme="majorBidi" w:cstheme="majorBidi"/>
                <w:sz w:val="20"/>
                <w:szCs w:val="20"/>
                <w:lang w:val="tr-TR"/>
              </w:rPr>
              <w:t>Derslerde başarılı olabilmek için sabırla çalışılması gerektiğini düşünüyorum</w:t>
            </w:r>
          </w:p>
        </w:tc>
        <w:tc>
          <w:tcPr>
            <w:tcW w:w="707" w:type="dxa"/>
          </w:tcPr>
          <w:p w:rsidR="00FE0BF4" w:rsidRPr="004E70EF" w:rsidRDefault="00FE0BF4" w:rsidP="00AA0EB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,855</w:t>
            </w:r>
          </w:p>
        </w:tc>
        <w:tc>
          <w:tcPr>
            <w:tcW w:w="651" w:type="dxa"/>
          </w:tcPr>
          <w:p w:rsidR="00FE0BF4" w:rsidRPr="004E70EF" w:rsidRDefault="00FE0BF4" w:rsidP="00AA0E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8" w:type="dxa"/>
          </w:tcPr>
          <w:p w:rsidR="00FE0BF4" w:rsidRPr="00FE0BF4" w:rsidRDefault="00FE0BF4" w:rsidP="00AA0EB7">
            <w:pPr>
              <w:autoSpaceDE w:val="0"/>
              <w:autoSpaceDN w:val="0"/>
              <w:adjustRightInd w:val="0"/>
              <w:ind w:left="60" w:right="60"/>
              <w:rPr>
                <w:rFonts w:asciiTheme="majorBidi" w:hAnsiTheme="majorBidi" w:cstheme="majorBidi"/>
                <w:b w:val="0"/>
                <w:bCs w:val="0"/>
                <w:sz w:val="20"/>
                <w:szCs w:val="20"/>
                <w:lang w:val="tr-TR"/>
              </w:rPr>
            </w:pPr>
            <w:r w:rsidRPr="00FE0BF4">
              <w:rPr>
                <w:rFonts w:asciiTheme="majorBidi" w:hAnsiTheme="majorBidi" w:cstheme="majorBidi"/>
                <w:b w:val="0"/>
                <w:bCs w:val="0"/>
                <w:sz w:val="20"/>
                <w:szCs w:val="20"/>
                <w:lang w:val="tr-TR"/>
              </w:rPr>
              <w:t>3</w:t>
            </w:r>
          </w:p>
        </w:tc>
        <w:tc>
          <w:tcPr>
            <w:tcW w:w="6727" w:type="dxa"/>
          </w:tcPr>
          <w:p w:rsidR="00FE0BF4" w:rsidRPr="004E70EF" w:rsidRDefault="00FE0BF4" w:rsidP="00AA0EB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0"/>
                <w:szCs w:val="20"/>
                <w:lang w:val="tr-TR"/>
              </w:rPr>
            </w:pPr>
            <w:r w:rsidRPr="004E70EF">
              <w:rPr>
                <w:rFonts w:asciiTheme="majorBidi" w:hAnsiTheme="majorBidi" w:cstheme="majorBidi"/>
                <w:sz w:val="20"/>
                <w:szCs w:val="20"/>
                <w:lang w:val="tr-TR"/>
              </w:rPr>
              <w:t>Derste öğrenilen bir konuyu başkalarına anlatırken sabırlı olunmalıdır</w:t>
            </w:r>
          </w:p>
        </w:tc>
        <w:tc>
          <w:tcPr>
            <w:tcW w:w="707" w:type="dxa"/>
          </w:tcPr>
          <w:p w:rsidR="00FE0BF4" w:rsidRPr="004E70EF" w:rsidRDefault="00FE0BF4"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,847</w:t>
            </w:r>
          </w:p>
        </w:tc>
        <w:tc>
          <w:tcPr>
            <w:tcW w:w="651"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AA0EB7">
            <w:pPr>
              <w:autoSpaceDE w:val="0"/>
              <w:autoSpaceDN w:val="0"/>
              <w:adjustRightInd w:val="0"/>
              <w:ind w:left="60" w:right="60"/>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4</w:t>
            </w:r>
          </w:p>
        </w:tc>
        <w:tc>
          <w:tcPr>
            <w:tcW w:w="6727" w:type="dxa"/>
          </w:tcPr>
          <w:p w:rsidR="00FE0BF4" w:rsidRPr="00FE0BF4" w:rsidRDefault="00FE0BF4" w:rsidP="00AA0EB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0"/>
                <w:szCs w:val="20"/>
                <w:lang w:val="tr-TR"/>
              </w:rPr>
            </w:pPr>
            <w:r w:rsidRPr="00FE0BF4">
              <w:rPr>
                <w:rFonts w:asciiTheme="majorBidi" w:hAnsiTheme="majorBidi" w:cstheme="majorBidi"/>
                <w:sz w:val="20"/>
                <w:szCs w:val="20"/>
                <w:lang w:val="tr-TR"/>
              </w:rPr>
              <w:t>İnsan sıkıntılar karşısında dayanabilmeli</w:t>
            </w:r>
          </w:p>
        </w:tc>
        <w:tc>
          <w:tcPr>
            <w:tcW w:w="707" w:type="dxa"/>
          </w:tcPr>
          <w:p w:rsidR="00FE0BF4" w:rsidRPr="004E70EF" w:rsidRDefault="00FE0BF4" w:rsidP="00AA0EB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,834</w:t>
            </w:r>
          </w:p>
        </w:tc>
        <w:tc>
          <w:tcPr>
            <w:tcW w:w="651" w:type="dxa"/>
          </w:tcPr>
          <w:p w:rsidR="00FE0BF4" w:rsidRPr="004E70EF" w:rsidRDefault="00FE0BF4" w:rsidP="00AA0E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AA0EB7">
            <w:pPr>
              <w:autoSpaceDE w:val="0"/>
              <w:autoSpaceDN w:val="0"/>
              <w:adjustRightInd w:val="0"/>
              <w:ind w:left="60" w:right="60"/>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5</w:t>
            </w:r>
          </w:p>
        </w:tc>
        <w:tc>
          <w:tcPr>
            <w:tcW w:w="6727" w:type="dxa"/>
          </w:tcPr>
          <w:p w:rsidR="00FE0BF4" w:rsidRPr="00FE0BF4" w:rsidRDefault="00FE0BF4" w:rsidP="00AA0EB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0"/>
                <w:szCs w:val="20"/>
                <w:lang w:val="tr-TR"/>
              </w:rPr>
            </w:pPr>
            <w:r w:rsidRPr="00FE0BF4">
              <w:rPr>
                <w:rFonts w:asciiTheme="majorBidi" w:hAnsiTheme="majorBidi" w:cstheme="majorBidi"/>
                <w:sz w:val="20"/>
                <w:szCs w:val="20"/>
                <w:lang w:val="tr-TR"/>
              </w:rPr>
              <w:t>Sabrı çok gerekli bir değer olarak görüyorum</w:t>
            </w:r>
          </w:p>
        </w:tc>
        <w:tc>
          <w:tcPr>
            <w:tcW w:w="707" w:type="dxa"/>
          </w:tcPr>
          <w:p w:rsidR="00FE0BF4" w:rsidRPr="004E70EF" w:rsidRDefault="00FE0BF4"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,799</w:t>
            </w:r>
          </w:p>
        </w:tc>
        <w:tc>
          <w:tcPr>
            <w:tcW w:w="651"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AA0EB7">
            <w:pPr>
              <w:autoSpaceDE w:val="0"/>
              <w:autoSpaceDN w:val="0"/>
              <w:adjustRightInd w:val="0"/>
              <w:ind w:left="60" w:right="60"/>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6</w:t>
            </w:r>
          </w:p>
        </w:tc>
        <w:tc>
          <w:tcPr>
            <w:tcW w:w="6727" w:type="dxa"/>
          </w:tcPr>
          <w:p w:rsidR="00FE0BF4" w:rsidRPr="00FE0BF4" w:rsidRDefault="00FE0BF4" w:rsidP="00AA0EB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0"/>
                <w:szCs w:val="20"/>
                <w:lang w:val="tr-TR"/>
              </w:rPr>
            </w:pPr>
            <w:r w:rsidRPr="00FE0BF4">
              <w:rPr>
                <w:rFonts w:asciiTheme="majorBidi" w:hAnsiTheme="majorBidi" w:cstheme="majorBidi"/>
                <w:sz w:val="20"/>
                <w:szCs w:val="20"/>
                <w:lang w:val="tr-TR"/>
              </w:rPr>
              <w:t>Öğrenciler sınıf içerisinde birbirlerine tahammül edebilmelidirler</w:t>
            </w:r>
          </w:p>
        </w:tc>
        <w:tc>
          <w:tcPr>
            <w:tcW w:w="707" w:type="dxa"/>
          </w:tcPr>
          <w:p w:rsidR="00FE0BF4" w:rsidRPr="004E70EF" w:rsidRDefault="00FE0BF4" w:rsidP="00AA0EB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,755</w:t>
            </w:r>
          </w:p>
        </w:tc>
        <w:tc>
          <w:tcPr>
            <w:tcW w:w="651" w:type="dxa"/>
          </w:tcPr>
          <w:p w:rsidR="00FE0BF4" w:rsidRPr="004E70EF" w:rsidRDefault="00FE0BF4" w:rsidP="00AA0E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AA0EB7">
            <w:pPr>
              <w:autoSpaceDE w:val="0"/>
              <w:autoSpaceDN w:val="0"/>
              <w:adjustRightInd w:val="0"/>
              <w:ind w:left="60" w:right="60"/>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7</w:t>
            </w:r>
          </w:p>
        </w:tc>
        <w:tc>
          <w:tcPr>
            <w:tcW w:w="6727" w:type="dxa"/>
          </w:tcPr>
          <w:p w:rsidR="00FE0BF4" w:rsidRPr="00FE0BF4" w:rsidRDefault="00FE0BF4" w:rsidP="00AA0EB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0"/>
                <w:szCs w:val="20"/>
                <w:lang w:val="tr-TR"/>
              </w:rPr>
            </w:pPr>
            <w:r w:rsidRPr="00FE0BF4">
              <w:rPr>
                <w:rFonts w:asciiTheme="majorBidi" w:hAnsiTheme="majorBidi" w:cstheme="majorBidi"/>
                <w:sz w:val="20"/>
                <w:szCs w:val="20"/>
                <w:lang w:val="tr-TR"/>
              </w:rPr>
              <w:t>Sinirlendiğimde bunu davranışlarıma yansıtmam</w:t>
            </w:r>
          </w:p>
        </w:tc>
        <w:tc>
          <w:tcPr>
            <w:tcW w:w="707" w:type="dxa"/>
          </w:tcPr>
          <w:p w:rsidR="00FE0BF4" w:rsidRPr="004E70EF" w:rsidRDefault="00FE0BF4"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,620</w:t>
            </w:r>
          </w:p>
        </w:tc>
        <w:tc>
          <w:tcPr>
            <w:tcW w:w="651"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AA0EB7">
            <w:pPr>
              <w:autoSpaceDE w:val="0"/>
              <w:autoSpaceDN w:val="0"/>
              <w:adjustRightInd w:val="0"/>
              <w:ind w:left="60" w:right="60"/>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8</w:t>
            </w:r>
          </w:p>
        </w:tc>
        <w:tc>
          <w:tcPr>
            <w:tcW w:w="6727" w:type="dxa"/>
          </w:tcPr>
          <w:p w:rsidR="00FE0BF4" w:rsidRPr="00FE0BF4" w:rsidRDefault="00FE0BF4" w:rsidP="00AA0EB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0"/>
                <w:szCs w:val="20"/>
                <w:lang w:val="tr-TR"/>
              </w:rPr>
            </w:pPr>
            <w:r w:rsidRPr="00FE0BF4">
              <w:rPr>
                <w:rFonts w:asciiTheme="majorBidi" w:hAnsiTheme="majorBidi" w:cstheme="majorBidi"/>
                <w:sz w:val="20"/>
                <w:szCs w:val="20"/>
                <w:lang w:val="tr-TR"/>
              </w:rPr>
              <w:t>Arkadaşlarım kötü bir şaka yaptığında sabırla karşılarım</w:t>
            </w:r>
          </w:p>
        </w:tc>
        <w:tc>
          <w:tcPr>
            <w:tcW w:w="707" w:type="dxa"/>
          </w:tcPr>
          <w:p w:rsidR="00FE0BF4" w:rsidRPr="004E70EF" w:rsidRDefault="00FE0BF4" w:rsidP="00AA0EB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,587</w:t>
            </w:r>
          </w:p>
        </w:tc>
        <w:tc>
          <w:tcPr>
            <w:tcW w:w="651" w:type="dxa"/>
          </w:tcPr>
          <w:p w:rsidR="00FE0BF4" w:rsidRPr="004E70EF" w:rsidRDefault="00FE0BF4" w:rsidP="00AA0E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AA0EB7">
            <w:pPr>
              <w:autoSpaceDE w:val="0"/>
              <w:autoSpaceDN w:val="0"/>
              <w:adjustRightInd w:val="0"/>
              <w:ind w:left="60" w:right="60"/>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9</w:t>
            </w:r>
          </w:p>
        </w:tc>
        <w:tc>
          <w:tcPr>
            <w:tcW w:w="6727" w:type="dxa"/>
          </w:tcPr>
          <w:p w:rsidR="00FE0BF4" w:rsidRPr="00FE0BF4" w:rsidRDefault="00FE0BF4" w:rsidP="00AA0EB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0"/>
                <w:szCs w:val="20"/>
                <w:lang w:val="tr-TR"/>
              </w:rPr>
            </w:pPr>
            <w:r w:rsidRPr="00FE0BF4">
              <w:rPr>
                <w:rFonts w:asciiTheme="majorBidi" w:hAnsiTheme="majorBidi" w:cstheme="majorBidi"/>
                <w:sz w:val="20"/>
                <w:szCs w:val="20"/>
                <w:lang w:val="tr-TR"/>
              </w:rPr>
              <w:t>Kantinde bir şey alırken kuyruk olduğunda tahammül gösterebilirim</w:t>
            </w:r>
          </w:p>
        </w:tc>
        <w:tc>
          <w:tcPr>
            <w:tcW w:w="707" w:type="dxa"/>
          </w:tcPr>
          <w:p w:rsidR="00FE0BF4" w:rsidRPr="004E70EF" w:rsidRDefault="00FE0BF4"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,561</w:t>
            </w:r>
          </w:p>
        </w:tc>
        <w:tc>
          <w:tcPr>
            <w:tcW w:w="651"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AA0EB7">
            <w:pPr>
              <w:autoSpaceDE w:val="0"/>
              <w:autoSpaceDN w:val="0"/>
              <w:adjustRightInd w:val="0"/>
              <w:ind w:left="60" w:right="60"/>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lastRenderedPageBreak/>
              <w:t>10</w:t>
            </w:r>
          </w:p>
        </w:tc>
        <w:tc>
          <w:tcPr>
            <w:tcW w:w="6727" w:type="dxa"/>
          </w:tcPr>
          <w:p w:rsidR="00FE0BF4" w:rsidRPr="00FE0BF4" w:rsidRDefault="00FE0BF4" w:rsidP="00AA0EB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0"/>
                <w:szCs w:val="20"/>
                <w:lang w:val="tr-TR"/>
              </w:rPr>
            </w:pPr>
            <w:r w:rsidRPr="00FE0BF4">
              <w:rPr>
                <w:rFonts w:asciiTheme="majorBidi" w:hAnsiTheme="majorBidi" w:cstheme="majorBidi"/>
                <w:sz w:val="20"/>
                <w:szCs w:val="20"/>
                <w:lang w:val="tr-TR"/>
              </w:rPr>
              <w:t>Arkadaşlarımın her türlü davranışlarına tahammül edebilirim</w:t>
            </w:r>
          </w:p>
        </w:tc>
        <w:tc>
          <w:tcPr>
            <w:tcW w:w="707" w:type="dxa"/>
          </w:tcPr>
          <w:p w:rsidR="00FE0BF4" w:rsidRPr="004E70EF" w:rsidRDefault="00FE0BF4" w:rsidP="004E70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 xml:space="preserve">  ,558</w:t>
            </w:r>
          </w:p>
        </w:tc>
        <w:tc>
          <w:tcPr>
            <w:tcW w:w="651" w:type="dxa"/>
          </w:tcPr>
          <w:p w:rsidR="00FE0BF4" w:rsidRPr="004E70EF" w:rsidRDefault="00FE0BF4" w:rsidP="00AA0EB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AA0E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11</w:t>
            </w:r>
          </w:p>
        </w:tc>
        <w:tc>
          <w:tcPr>
            <w:tcW w:w="6727" w:type="dxa"/>
          </w:tcPr>
          <w:p w:rsidR="00FE0BF4" w:rsidRPr="00FE0BF4" w:rsidRDefault="00FE0BF4" w:rsidP="004E70E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0BF4">
              <w:rPr>
                <w:rFonts w:asciiTheme="majorBidi" w:hAnsiTheme="majorBidi" w:cstheme="majorBidi"/>
                <w:sz w:val="20"/>
                <w:szCs w:val="20"/>
                <w:lang w:val="tr-TR"/>
              </w:rPr>
              <w:t>Sınav notları duyuruluncaya kadar sakince beklerim</w:t>
            </w:r>
          </w:p>
        </w:tc>
        <w:tc>
          <w:tcPr>
            <w:tcW w:w="707"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,751</w:t>
            </w:r>
          </w:p>
        </w:tc>
        <w:tc>
          <w:tcPr>
            <w:tcW w:w="706"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trHeight w:val="312"/>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12</w:t>
            </w:r>
          </w:p>
        </w:tc>
        <w:tc>
          <w:tcPr>
            <w:tcW w:w="6727" w:type="dxa"/>
          </w:tcPr>
          <w:p w:rsidR="00FE0BF4" w:rsidRPr="00FE0BF4" w:rsidRDefault="00FE0BF4" w:rsidP="004E70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E0BF4">
              <w:rPr>
                <w:rFonts w:asciiTheme="majorBidi" w:hAnsiTheme="majorBidi" w:cstheme="majorBidi"/>
                <w:sz w:val="20"/>
                <w:szCs w:val="20"/>
                <w:lang w:val="tr-TR"/>
              </w:rPr>
              <w:t>Bir işle uğraşırken acele etmem</w:t>
            </w:r>
          </w:p>
        </w:tc>
        <w:tc>
          <w:tcPr>
            <w:tcW w:w="707"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,722</w:t>
            </w:r>
          </w:p>
        </w:tc>
        <w:tc>
          <w:tcPr>
            <w:tcW w:w="706"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13</w:t>
            </w:r>
          </w:p>
        </w:tc>
        <w:tc>
          <w:tcPr>
            <w:tcW w:w="6727" w:type="dxa"/>
          </w:tcPr>
          <w:p w:rsidR="00FE0BF4" w:rsidRPr="00FE0BF4" w:rsidRDefault="00FE0BF4" w:rsidP="004E70E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0BF4">
              <w:rPr>
                <w:rFonts w:asciiTheme="majorBidi" w:hAnsiTheme="majorBidi" w:cstheme="majorBidi"/>
                <w:sz w:val="20"/>
                <w:szCs w:val="20"/>
                <w:lang w:val="tr-TR"/>
              </w:rPr>
              <w:t>Minibüs veya otobüse binerken acele etmem</w:t>
            </w:r>
          </w:p>
        </w:tc>
        <w:tc>
          <w:tcPr>
            <w:tcW w:w="707"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,692</w:t>
            </w:r>
          </w:p>
        </w:tc>
        <w:tc>
          <w:tcPr>
            <w:tcW w:w="706"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14</w:t>
            </w:r>
          </w:p>
        </w:tc>
        <w:tc>
          <w:tcPr>
            <w:tcW w:w="6727" w:type="dxa"/>
          </w:tcPr>
          <w:p w:rsidR="00FE0BF4" w:rsidRPr="00FE0BF4" w:rsidRDefault="00FE0BF4" w:rsidP="004E70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E0BF4">
              <w:rPr>
                <w:rFonts w:asciiTheme="majorBidi" w:hAnsiTheme="majorBidi" w:cstheme="majorBidi"/>
                <w:sz w:val="20"/>
                <w:szCs w:val="20"/>
                <w:lang w:val="tr-TR"/>
              </w:rPr>
              <w:t xml:space="preserve">Sınıf arkadaşlarım genelde beni sabırlı </w:t>
            </w:r>
            <w:r w:rsidR="00FA42E5">
              <w:rPr>
                <w:rFonts w:asciiTheme="majorBidi" w:hAnsiTheme="majorBidi" w:cstheme="majorBidi"/>
                <w:sz w:val="20"/>
                <w:szCs w:val="20"/>
                <w:lang w:val="tr-TR"/>
              </w:rPr>
              <w:t>bulurlar</w:t>
            </w:r>
          </w:p>
        </w:tc>
        <w:tc>
          <w:tcPr>
            <w:tcW w:w="707"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,676</w:t>
            </w:r>
          </w:p>
        </w:tc>
        <w:tc>
          <w:tcPr>
            <w:tcW w:w="706"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15</w:t>
            </w:r>
          </w:p>
        </w:tc>
        <w:tc>
          <w:tcPr>
            <w:tcW w:w="6727" w:type="dxa"/>
          </w:tcPr>
          <w:p w:rsidR="00FE0BF4" w:rsidRPr="00FE0BF4" w:rsidRDefault="00FE0BF4" w:rsidP="004E70E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FE0BF4">
              <w:rPr>
                <w:rFonts w:asciiTheme="majorBidi" w:hAnsiTheme="majorBidi" w:cstheme="majorBidi"/>
                <w:sz w:val="20"/>
                <w:szCs w:val="20"/>
                <w:lang w:val="tr-TR"/>
              </w:rPr>
              <w:t xml:space="preserve">Ders bittiğinde dışarı </w:t>
            </w:r>
            <w:r w:rsidR="00FA42E5">
              <w:rPr>
                <w:rFonts w:asciiTheme="majorBidi" w:hAnsiTheme="majorBidi" w:cstheme="majorBidi"/>
                <w:sz w:val="20"/>
                <w:szCs w:val="20"/>
                <w:lang w:val="tr-TR"/>
              </w:rPr>
              <w:t>çıkmak için acele edilmemelidir</w:t>
            </w:r>
          </w:p>
        </w:tc>
        <w:tc>
          <w:tcPr>
            <w:tcW w:w="707"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,616</w:t>
            </w:r>
          </w:p>
        </w:tc>
        <w:tc>
          <w:tcPr>
            <w:tcW w:w="706"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16</w:t>
            </w:r>
          </w:p>
        </w:tc>
        <w:tc>
          <w:tcPr>
            <w:tcW w:w="6727" w:type="dxa"/>
          </w:tcPr>
          <w:p w:rsidR="00FE0BF4" w:rsidRPr="00FE0BF4" w:rsidRDefault="00FE0BF4" w:rsidP="004E70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FE0BF4">
              <w:rPr>
                <w:rFonts w:asciiTheme="majorBidi" w:hAnsiTheme="majorBidi" w:cstheme="majorBidi"/>
                <w:sz w:val="20"/>
                <w:szCs w:val="20"/>
                <w:lang w:val="tr-TR"/>
              </w:rPr>
              <w:t>Kitap okurken bitirmek için acele etmem.</w:t>
            </w:r>
          </w:p>
        </w:tc>
        <w:tc>
          <w:tcPr>
            <w:tcW w:w="707"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,609</w:t>
            </w:r>
          </w:p>
        </w:tc>
        <w:tc>
          <w:tcPr>
            <w:tcW w:w="706"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17</w:t>
            </w:r>
          </w:p>
        </w:tc>
        <w:tc>
          <w:tcPr>
            <w:tcW w:w="6727" w:type="dxa"/>
          </w:tcPr>
          <w:p w:rsidR="00FE0BF4" w:rsidRPr="00FE0BF4" w:rsidRDefault="00FE0BF4" w:rsidP="004E70E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0BF4">
              <w:rPr>
                <w:rFonts w:asciiTheme="majorBidi" w:hAnsiTheme="majorBidi" w:cstheme="majorBidi"/>
                <w:sz w:val="20"/>
                <w:szCs w:val="20"/>
                <w:lang w:val="tr-TR"/>
              </w:rPr>
              <w:t xml:space="preserve">Yurtta/evde arkadaşlarımın gürültü yapmaları beni </w:t>
            </w:r>
            <w:r w:rsidR="00FA42E5">
              <w:rPr>
                <w:rFonts w:asciiTheme="majorBidi" w:hAnsiTheme="majorBidi" w:cstheme="majorBidi"/>
                <w:sz w:val="20"/>
                <w:szCs w:val="20"/>
                <w:lang w:val="tr-TR"/>
              </w:rPr>
              <w:t>öfkelendirmez</w:t>
            </w:r>
          </w:p>
        </w:tc>
        <w:tc>
          <w:tcPr>
            <w:tcW w:w="707"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4E70E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,832</w:t>
            </w:r>
          </w:p>
        </w:tc>
      </w:tr>
      <w:tr w:rsidR="00FE0BF4" w:rsidRPr="004E70EF" w:rsidTr="00FA42E5">
        <w:trPr>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18</w:t>
            </w:r>
          </w:p>
        </w:tc>
        <w:tc>
          <w:tcPr>
            <w:tcW w:w="6727" w:type="dxa"/>
          </w:tcPr>
          <w:p w:rsidR="00FE0BF4" w:rsidRPr="00FE0BF4" w:rsidRDefault="00FE0BF4" w:rsidP="004E70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E0BF4">
              <w:rPr>
                <w:rFonts w:asciiTheme="majorBidi" w:hAnsiTheme="majorBidi" w:cstheme="majorBidi"/>
                <w:sz w:val="20"/>
                <w:szCs w:val="20"/>
                <w:lang w:val="tr-TR"/>
              </w:rPr>
              <w:t>Yemekhane sırasında birisinin önüme geçmesi beni kızdırmaz</w:t>
            </w:r>
          </w:p>
        </w:tc>
        <w:tc>
          <w:tcPr>
            <w:tcW w:w="707"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4E70E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,819</w:t>
            </w: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19</w:t>
            </w:r>
          </w:p>
        </w:tc>
        <w:tc>
          <w:tcPr>
            <w:tcW w:w="6727" w:type="dxa"/>
          </w:tcPr>
          <w:p w:rsidR="00FE0BF4" w:rsidRPr="00FE0BF4" w:rsidRDefault="00FE0BF4" w:rsidP="004E70E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0BF4">
              <w:rPr>
                <w:rFonts w:asciiTheme="majorBidi" w:hAnsiTheme="majorBidi" w:cstheme="majorBidi"/>
                <w:sz w:val="20"/>
                <w:szCs w:val="20"/>
                <w:lang w:val="tr-TR"/>
              </w:rPr>
              <w:t xml:space="preserve">Kütüphanede çalışırken öğrencilerin yaptığı gürültü beni </w:t>
            </w:r>
            <w:r w:rsidR="00FA42E5">
              <w:rPr>
                <w:rFonts w:asciiTheme="majorBidi" w:hAnsiTheme="majorBidi" w:cstheme="majorBidi"/>
                <w:sz w:val="20"/>
                <w:szCs w:val="20"/>
                <w:lang w:val="tr-TR"/>
              </w:rPr>
              <w:t>sinirlendirmez</w:t>
            </w:r>
          </w:p>
        </w:tc>
        <w:tc>
          <w:tcPr>
            <w:tcW w:w="707"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4E70E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,806</w:t>
            </w:r>
          </w:p>
        </w:tc>
      </w:tr>
      <w:tr w:rsidR="00FE0BF4" w:rsidRPr="004E70EF" w:rsidTr="00FA42E5">
        <w:trPr>
          <w:trHeight w:val="325"/>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20</w:t>
            </w:r>
          </w:p>
        </w:tc>
        <w:tc>
          <w:tcPr>
            <w:tcW w:w="6727" w:type="dxa"/>
          </w:tcPr>
          <w:p w:rsidR="00FE0BF4" w:rsidRPr="00FE0BF4" w:rsidRDefault="00FE0BF4" w:rsidP="004E70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FE0BF4">
              <w:rPr>
                <w:rFonts w:asciiTheme="majorBidi" w:hAnsiTheme="majorBidi" w:cstheme="majorBidi"/>
                <w:sz w:val="20"/>
                <w:szCs w:val="20"/>
                <w:lang w:val="tr-TR"/>
              </w:rPr>
              <w:t>Kendimden daha başarılı</w:t>
            </w:r>
            <w:r w:rsidR="00FA42E5">
              <w:rPr>
                <w:rFonts w:asciiTheme="majorBidi" w:hAnsiTheme="majorBidi" w:cstheme="majorBidi"/>
                <w:sz w:val="20"/>
                <w:szCs w:val="20"/>
                <w:lang w:val="tr-TR"/>
              </w:rPr>
              <w:t xml:space="preserve"> bir öğrenci beni öfkelendirmez</w:t>
            </w:r>
          </w:p>
        </w:tc>
        <w:tc>
          <w:tcPr>
            <w:tcW w:w="707"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4E70E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,799</w:t>
            </w:r>
          </w:p>
        </w:tc>
      </w:tr>
      <w:tr w:rsidR="00FE0BF4" w:rsidRPr="004E70EF" w:rsidTr="00FA42E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8" w:type="dxa"/>
          </w:tcPr>
          <w:p w:rsidR="00FE0BF4" w:rsidRPr="004E70EF" w:rsidRDefault="00FE0BF4" w:rsidP="004E70EF">
            <w:pPr>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21</w:t>
            </w:r>
          </w:p>
        </w:tc>
        <w:tc>
          <w:tcPr>
            <w:tcW w:w="6727" w:type="dxa"/>
          </w:tcPr>
          <w:p w:rsidR="00FE0BF4" w:rsidRPr="00FE0BF4" w:rsidRDefault="00FE0BF4" w:rsidP="004E70E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0BF4">
              <w:rPr>
                <w:rFonts w:asciiTheme="majorBidi" w:hAnsiTheme="majorBidi" w:cstheme="majorBidi"/>
                <w:sz w:val="20"/>
                <w:szCs w:val="20"/>
                <w:lang w:val="tr-TR"/>
              </w:rPr>
              <w:t>Spor oyun</w:t>
            </w:r>
            <w:r w:rsidR="00FA42E5">
              <w:rPr>
                <w:rFonts w:asciiTheme="majorBidi" w:hAnsiTheme="majorBidi" w:cstheme="majorBidi"/>
                <w:sz w:val="20"/>
                <w:szCs w:val="20"/>
                <w:lang w:val="tr-TR"/>
              </w:rPr>
              <w:t>larında yenildiğimde öfkelenmem</w:t>
            </w:r>
          </w:p>
        </w:tc>
        <w:tc>
          <w:tcPr>
            <w:tcW w:w="707"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651" w:type="dxa"/>
          </w:tcPr>
          <w:p w:rsidR="00FE0BF4" w:rsidRPr="004E70EF" w:rsidRDefault="00FE0BF4" w:rsidP="004E7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706" w:type="dxa"/>
          </w:tcPr>
          <w:p w:rsidR="00FE0BF4" w:rsidRPr="004E70EF" w:rsidRDefault="00FE0BF4" w:rsidP="004E70E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4E70EF">
              <w:rPr>
                <w:rFonts w:asciiTheme="majorBidi" w:hAnsiTheme="majorBidi" w:cstheme="majorBidi"/>
                <w:noProof/>
                <w:sz w:val="18"/>
                <w:szCs w:val="18"/>
                <w:lang w:val="tr-TR"/>
              </w:rPr>
              <w:t>,796</w:t>
            </w:r>
          </w:p>
        </w:tc>
      </w:tr>
    </w:tbl>
    <w:p w:rsidR="003E1571" w:rsidRPr="009C6D6C" w:rsidRDefault="003E1571" w:rsidP="00AA0EB7">
      <w:pPr>
        <w:autoSpaceDE w:val="0"/>
        <w:autoSpaceDN w:val="0"/>
        <w:adjustRightInd w:val="0"/>
        <w:spacing w:after="0" w:line="240" w:lineRule="auto"/>
        <w:rPr>
          <w:rFonts w:ascii="Times New Roman" w:hAnsi="Times New Roman" w:cs="Times New Roman"/>
          <w:noProof/>
          <w:lang w:val="tr-TR"/>
        </w:rPr>
      </w:pPr>
    </w:p>
    <w:p w:rsidR="003E1571" w:rsidRPr="009C6D6C" w:rsidRDefault="003E1571" w:rsidP="00AA0EB7">
      <w:pPr>
        <w:autoSpaceDE w:val="0"/>
        <w:autoSpaceDN w:val="0"/>
        <w:adjustRightInd w:val="0"/>
        <w:spacing w:after="0" w:line="240" w:lineRule="auto"/>
        <w:rPr>
          <w:rFonts w:ascii="Times New Roman" w:hAnsi="Times New Roman" w:cs="Times New Roman"/>
          <w:noProof/>
          <w:lang w:val="tr-TR"/>
        </w:rPr>
      </w:pPr>
    </w:p>
    <w:p w:rsidR="003E1571" w:rsidRPr="009C6D6C" w:rsidRDefault="003E1571" w:rsidP="00F612DA">
      <w:pPr>
        <w:autoSpaceDE w:val="0"/>
        <w:autoSpaceDN w:val="0"/>
        <w:adjustRightInd w:val="0"/>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Varimax Dik Döndürme Tekniği sonucunda ortaya çıkan maddelerin faktör dağılımlarına bakıldığında özdeğeri 1’den büyük 3 faktör türetildiği, tüm maddelerin oluştukları faktörde kabul edilebilir yük değerlerine sahip (en</w:t>
      </w:r>
      <w:r w:rsidR="00A5196C" w:rsidRPr="009C6D6C">
        <w:rPr>
          <w:rFonts w:asciiTheme="majorBidi" w:hAnsiTheme="majorBidi" w:cstheme="majorBidi"/>
          <w:noProof/>
          <w:lang w:val="tr-TR"/>
        </w:rPr>
        <w:t xml:space="preserve"> düşük madde yük değerinin 0.558</w:t>
      </w:r>
      <w:r w:rsidRPr="009C6D6C">
        <w:rPr>
          <w:rFonts w:asciiTheme="majorBidi" w:hAnsiTheme="majorBidi" w:cstheme="majorBidi"/>
          <w:noProof/>
          <w:lang w:val="tr-TR"/>
        </w:rPr>
        <w:t xml:space="preserve">; en yüksek madde </w:t>
      </w:r>
      <w:r w:rsidR="00A5196C" w:rsidRPr="009C6D6C">
        <w:rPr>
          <w:rFonts w:asciiTheme="majorBidi" w:hAnsiTheme="majorBidi" w:cstheme="majorBidi"/>
          <w:noProof/>
          <w:lang w:val="tr-TR"/>
        </w:rPr>
        <w:t>yük değerinin 0.857</w:t>
      </w:r>
      <w:r w:rsidRPr="009C6D6C">
        <w:rPr>
          <w:rFonts w:asciiTheme="majorBidi" w:hAnsiTheme="majorBidi" w:cstheme="majorBidi"/>
          <w:noProof/>
          <w:lang w:val="tr-TR"/>
        </w:rPr>
        <w:t>) olduğu görülmüştür. Birden fazla faktörde yüksek değer veren bir maddenin olmadığı saptanmıştır. Ayrıca alt boyutlara giren maddeler ve madde sayılarını gösteren tablo aşağıda verilmiştir.</w:t>
      </w:r>
    </w:p>
    <w:p w:rsidR="003E1571" w:rsidRPr="009C6D6C" w:rsidRDefault="003E1571" w:rsidP="00AA0EB7">
      <w:pPr>
        <w:autoSpaceDE w:val="0"/>
        <w:autoSpaceDN w:val="0"/>
        <w:adjustRightInd w:val="0"/>
        <w:spacing w:after="0" w:line="240" w:lineRule="auto"/>
        <w:ind w:firstLine="709"/>
        <w:jc w:val="both"/>
        <w:rPr>
          <w:rFonts w:asciiTheme="majorBidi" w:hAnsiTheme="majorBidi" w:cstheme="majorBidi"/>
          <w:noProof/>
          <w:lang w:val="tr-TR"/>
        </w:rPr>
      </w:pPr>
    </w:p>
    <w:p w:rsidR="003E1571" w:rsidRPr="009C6D6C" w:rsidRDefault="003E1571" w:rsidP="000B1998">
      <w:pPr>
        <w:autoSpaceDE w:val="0"/>
        <w:autoSpaceDN w:val="0"/>
        <w:adjustRightInd w:val="0"/>
        <w:spacing w:after="0" w:line="240" w:lineRule="auto"/>
        <w:ind w:firstLine="709"/>
        <w:jc w:val="center"/>
        <w:rPr>
          <w:rFonts w:ascii="Times New Roman" w:hAnsi="Times New Roman" w:cs="Times New Roman"/>
          <w:b/>
          <w:bCs/>
          <w:noProof/>
          <w:lang w:val="tr-TR"/>
        </w:rPr>
      </w:pPr>
      <w:r w:rsidRPr="009C6D6C">
        <w:rPr>
          <w:rFonts w:ascii="Times New Roman" w:hAnsi="Times New Roman" w:cs="Times New Roman"/>
          <w:b/>
          <w:bCs/>
          <w:noProof/>
          <w:lang w:val="tr-TR"/>
        </w:rPr>
        <w:t>Tablo 2. Faktör Analizi Sonucunda Belirlenen Alt Boyutlar ve Bu Boyutlardan Yük Alan Maddeler</w:t>
      </w:r>
    </w:p>
    <w:p w:rsidR="003E1571" w:rsidRPr="009C6D6C" w:rsidRDefault="003E1571" w:rsidP="00AA0EB7">
      <w:pPr>
        <w:autoSpaceDE w:val="0"/>
        <w:autoSpaceDN w:val="0"/>
        <w:adjustRightInd w:val="0"/>
        <w:spacing w:after="0" w:line="240" w:lineRule="auto"/>
        <w:rPr>
          <w:rFonts w:ascii="Times New Roman" w:hAnsi="Times New Roman" w:cs="Times New Roman"/>
          <w:b/>
          <w:bCs/>
          <w:noProof/>
          <w:lang w:val="tr-TR"/>
        </w:rPr>
      </w:pPr>
    </w:p>
    <w:tbl>
      <w:tblPr>
        <w:tblStyle w:val="2"/>
        <w:tblW w:w="0" w:type="auto"/>
        <w:tblLook w:val="04A0" w:firstRow="1" w:lastRow="0" w:firstColumn="1" w:lastColumn="0" w:noHBand="0" w:noVBand="1"/>
      </w:tblPr>
      <w:tblGrid>
        <w:gridCol w:w="2999"/>
        <w:gridCol w:w="2388"/>
        <w:gridCol w:w="3610"/>
      </w:tblGrid>
      <w:tr w:rsidR="003E1571" w:rsidRPr="009C6D6C" w:rsidTr="00B47E88">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999" w:type="dxa"/>
          </w:tcPr>
          <w:p w:rsidR="003E1571" w:rsidRPr="009C6D6C" w:rsidRDefault="003E1571" w:rsidP="00AA0EB7">
            <w:pPr>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Faktör</w:t>
            </w:r>
          </w:p>
        </w:tc>
        <w:tc>
          <w:tcPr>
            <w:tcW w:w="2388" w:type="dxa"/>
          </w:tcPr>
          <w:p w:rsidR="003E1571" w:rsidRPr="009C6D6C" w:rsidRDefault="003E1571" w:rsidP="00AA0EB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Madde Sayısı</w:t>
            </w:r>
          </w:p>
        </w:tc>
        <w:tc>
          <w:tcPr>
            <w:tcW w:w="3610" w:type="dxa"/>
          </w:tcPr>
          <w:p w:rsidR="003E1571" w:rsidRPr="009C6D6C" w:rsidRDefault="003E1571" w:rsidP="00AA0EB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Maddelerin Numarası</w:t>
            </w:r>
          </w:p>
        </w:tc>
      </w:tr>
      <w:tr w:rsidR="003E1571" w:rsidRPr="009C6D6C" w:rsidTr="00B47E88">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999" w:type="dxa"/>
          </w:tcPr>
          <w:p w:rsidR="003E1571" w:rsidRPr="009C6D6C" w:rsidRDefault="003E1571" w:rsidP="00AA0EB7">
            <w:pPr>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1</w:t>
            </w:r>
          </w:p>
        </w:tc>
        <w:tc>
          <w:tcPr>
            <w:tcW w:w="2388" w:type="dxa"/>
          </w:tcPr>
          <w:p w:rsidR="003E1571" w:rsidRPr="009C6D6C" w:rsidRDefault="00A5196C" w:rsidP="00AA0EB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10</w:t>
            </w:r>
          </w:p>
        </w:tc>
        <w:tc>
          <w:tcPr>
            <w:tcW w:w="3610" w:type="dxa"/>
          </w:tcPr>
          <w:p w:rsidR="003E1571" w:rsidRPr="009C6D6C" w:rsidRDefault="003E1571" w:rsidP="00AA0EB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14, 15, 17, 18, 22, 23,</w:t>
            </w:r>
            <w:r w:rsidR="00A5196C" w:rsidRPr="009C6D6C">
              <w:rPr>
                <w:rFonts w:asciiTheme="majorBidi" w:hAnsiTheme="majorBidi" w:cstheme="majorBidi"/>
                <w:noProof/>
                <w:sz w:val="18"/>
                <w:szCs w:val="18"/>
                <w:lang w:val="tr-TR"/>
              </w:rPr>
              <w:t xml:space="preserve"> 24,</w:t>
            </w:r>
            <w:r w:rsidRPr="009C6D6C">
              <w:rPr>
                <w:rFonts w:asciiTheme="majorBidi" w:hAnsiTheme="majorBidi" w:cstheme="majorBidi"/>
                <w:noProof/>
                <w:sz w:val="18"/>
                <w:szCs w:val="18"/>
                <w:lang w:val="tr-TR"/>
              </w:rPr>
              <w:t xml:space="preserve"> 25, 28, 31</w:t>
            </w:r>
          </w:p>
        </w:tc>
      </w:tr>
      <w:tr w:rsidR="003E1571" w:rsidRPr="009C6D6C" w:rsidTr="00B47E88">
        <w:trPr>
          <w:trHeight w:val="434"/>
        </w:trPr>
        <w:tc>
          <w:tcPr>
            <w:cnfStyle w:val="001000000000" w:firstRow="0" w:lastRow="0" w:firstColumn="1" w:lastColumn="0" w:oddVBand="0" w:evenVBand="0" w:oddHBand="0" w:evenHBand="0" w:firstRowFirstColumn="0" w:firstRowLastColumn="0" w:lastRowFirstColumn="0" w:lastRowLastColumn="0"/>
            <w:tcW w:w="2999" w:type="dxa"/>
          </w:tcPr>
          <w:p w:rsidR="003E1571" w:rsidRPr="009C6D6C" w:rsidRDefault="003E1571" w:rsidP="00AA0EB7">
            <w:pPr>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2</w:t>
            </w:r>
          </w:p>
        </w:tc>
        <w:tc>
          <w:tcPr>
            <w:tcW w:w="2388" w:type="dxa"/>
          </w:tcPr>
          <w:p w:rsidR="003E1571" w:rsidRPr="009C6D6C" w:rsidRDefault="00882B0B" w:rsidP="00AA0E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6</w:t>
            </w:r>
          </w:p>
        </w:tc>
        <w:tc>
          <w:tcPr>
            <w:tcW w:w="3610" w:type="dxa"/>
          </w:tcPr>
          <w:p w:rsidR="003E1571" w:rsidRPr="009C6D6C" w:rsidRDefault="003E1571" w:rsidP="00AA0E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5, 6, 8, 29,</w:t>
            </w:r>
            <w:r w:rsidR="00A5196C" w:rsidRPr="009C6D6C">
              <w:rPr>
                <w:rFonts w:asciiTheme="majorBidi" w:hAnsiTheme="majorBidi" w:cstheme="majorBidi"/>
                <w:noProof/>
                <w:sz w:val="18"/>
                <w:szCs w:val="18"/>
                <w:lang w:val="tr-TR"/>
              </w:rPr>
              <w:t xml:space="preserve"> 30,</w:t>
            </w:r>
            <w:r w:rsidRPr="009C6D6C">
              <w:rPr>
                <w:rFonts w:asciiTheme="majorBidi" w:hAnsiTheme="majorBidi" w:cstheme="majorBidi"/>
                <w:noProof/>
                <w:sz w:val="18"/>
                <w:szCs w:val="18"/>
                <w:lang w:val="tr-TR"/>
              </w:rPr>
              <w:t xml:space="preserve"> 32</w:t>
            </w:r>
          </w:p>
        </w:tc>
      </w:tr>
      <w:tr w:rsidR="003E1571" w:rsidRPr="009C6D6C" w:rsidTr="00B47E88">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999" w:type="dxa"/>
          </w:tcPr>
          <w:p w:rsidR="003E1571" w:rsidRPr="009C6D6C" w:rsidRDefault="003E1571" w:rsidP="00AA0EB7">
            <w:pPr>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3</w:t>
            </w:r>
          </w:p>
        </w:tc>
        <w:tc>
          <w:tcPr>
            <w:tcW w:w="2388" w:type="dxa"/>
          </w:tcPr>
          <w:p w:rsidR="003E1571" w:rsidRPr="009C6D6C" w:rsidRDefault="003E1571" w:rsidP="00AA0EB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5</w:t>
            </w:r>
          </w:p>
        </w:tc>
        <w:tc>
          <w:tcPr>
            <w:tcW w:w="3610" w:type="dxa"/>
          </w:tcPr>
          <w:p w:rsidR="003E1571" w:rsidRPr="009C6D6C" w:rsidRDefault="003E1571" w:rsidP="00AA0EB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26, 27,</w:t>
            </w:r>
            <w:r w:rsidR="00A5196C" w:rsidRPr="009C6D6C">
              <w:rPr>
                <w:rFonts w:asciiTheme="majorBidi" w:hAnsiTheme="majorBidi" w:cstheme="majorBidi"/>
                <w:noProof/>
                <w:sz w:val="18"/>
                <w:szCs w:val="18"/>
                <w:lang w:val="tr-TR"/>
              </w:rPr>
              <w:t xml:space="preserve"> 33, 34,</w:t>
            </w:r>
            <w:r w:rsidRPr="009C6D6C">
              <w:rPr>
                <w:rFonts w:asciiTheme="majorBidi" w:hAnsiTheme="majorBidi" w:cstheme="majorBidi"/>
                <w:noProof/>
                <w:sz w:val="18"/>
                <w:szCs w:val="18"/>
                <w:lang w:val="tr-TR"/>
              </w:rPr>
              <w:t xml:space="preserve"> 35</w:t>
            </w:r>
          </w:p>
        </w:tc>
      </w:tr>
    </w:tbl>
    <w:p w:rsidR="003E1571" w:rsidRPr="009C6D6C" w:rsidRDefault="003E1571" w:rsidP="00AA0EB7">
      <w:pPr>
        <w:autoSpaceDE w:val="0"/>
        <w:autoSpaceDN w:val="0"/>
        <w:adjustRightInd w:val="0"/>
        <w:spacing w:after="0" w:line="240" w:lineRule="auto"/>
        <w:jc w:val="both"/>
        <w:rPr>
          <w:rFonts w:asciiTheme="majorBidi" w:hAnsiTheme="majorBidi" w:cstheme="majorBidi"/>
          <w:noProof/>
          <w:lang w:val="tr-TR"/>
        </w:rPr>
      </w:pPr>
    </w:p>
    <w:p w:rsidR="00685BA1" w:rsidRPr="009C6D6C" w:rsidRDefault="003E1571" w:rsidP="00F612DA">
      <w:pPr>
        <w:autoSpaceDE w:val="0"/>
        <w:autoSpaceDN w:val="0"/>
        <w:adjustRightInd w:val="0"/>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Tabl</w:t>
      </w:r>
      <w:r w:rsidR="005868AB" w:rsidRPr="009C6D6C">
        <w:rPr>
          <w:rFonts w:asciiTheme="majorBidi" w:hAnsiTheme="majorBidi" w:cstheme="majorBidi"/>
          <w:noProof/>
          <w:lang w:val="tr-TR"/>
        </w:rPr>
        <w:t>o 2’de görüldüğü üzere toplam 21</w:t>
      </w:r>
      <w:r w:rsidRPr="009C6D6C">
        <w:rPr>
          <w:rFonts w:asciiTheme="majorBidi" w:hAnsiTheme="majorBidi" w:cstheme="majorBidi"/>
          <w:noProof/>
          <w:lang w:val="tr-TR"/>
        </w:rPr>
        <w:t xml:space="preserve"> madde ve 3 faktörden</w:t>
      </w:r>
      <w:r w:rsidR="005868AB" w:rsidRPr="009C6D6C">
        <w:rPr>
          <w:rFonts w:asciiTheme="majorBidi" w:hAnsiTheme="majorBidi" w:cstheme="majorBidi"/>
          <w:noProof/>
          <w:lang w:val="tr-TR"/>
        </w:rPr>
        <w:t xml:space="preserve"> oluşan ölçekte birinci faktör 10</w:t>
      </w:r>
      <w:r w:rsidRPr="009C6D6C">
        <w:rPr>
          <w:rFonts w:asciiTheme="majorBidi" w:hAnsiTheme="majorBidi" w:cstheme="majorBidi"/>
          <w:noProof/>
          <w:lang w:val="tr-TR"/>
        </w:rPr>
        <w:t xml:space="preserve"> maddeden (14, 15, 17, 18, 22, 23,</w:t>
      </w:r>
      <w:r w:rsidR="005868AB" w:rsidRPr="009C6D6C">
        <w:rPr>
          <w:rFonts w:asciiTheme="majorBidi" w:hAnsiTheme="majorBidi" w:cstheme="majorBidi"/>
          <w:noProof/>
          <w:lang w:val="tr-TR"/>
        </w:rPr>
        <w:t xml:space="preserve"> 24,</w:t>
      </w:r>
      <w:r w:rsidRPr="009C6D6C">
        <w:rPr>
          <w:rFonts w:asciiTheme="majorBidi" w:hAnsiTheme="majorBidi" w:cstheme="majorBidi"/>
          <w:noProof/>
          <w:lang w:val="tr-TR"/>
        </w:rPr>
        <w:t xml:space="preserve"> 25, 28</w:t>
      </w:r>
      <w:r w:rsidR="005868AB" w:rsidRPr="009C6D6C">
        <w:rPr>
          <w:rFonts w:asciiTheme="majorBidi" w:hAnsiTheme="majorBidi" w:cstheme="majorBidi"/>
          <w:noProof/>
          <w:lang w:val="tr-TR"/>
        </w:rPr>
        <w:t>, 31. maddeler); ikinci faktör 6</w:t>
      </w:r>
      <w:r w:rsidRPr="009C6D6C">
        <w:rPr>
          <w:rFonts w:asciiTheme="majorBidi" w:hAnsiTheme="majorBidi" w:cstheme="majorBidi"/>
          <w:noProof/>
          <w:lang w:val="tr-TR"/>
        </w:rPr>
        <w:t xml:space="preserve"> maddeden (5, 6, 8,</w:t>
      </w:r>
      <w:r w:rsidR="005868AB" w:rsidRPr="009C6D6C">
        <w:rPr>
          <w:rFonts w:asciiTheme="majorBidi" w:hAnsiTheme="majorBidi" w:cstheme="majorBidi"/>
          <w:noProof/>
          <w:lang w:val="tr-TR"/>
        </w:rPr>
        <w:t xml:space="preserve"> 29, 30, 32</w:t>
      </w:r>
      <w:r w:rsidRPr="009C6D6C">
        <w:rPr>
          <w:rFonts w:asciiTheme="majorBidi" w:hAnsiTheme="majorBidi" w:cstheme="majorBidi"/>
          <w:noProof/>
          <w:lang w:val="tr-TR"/>
        </w:rPr>
        <w:t>. maddeler); üçüncü faktör 3 maddeden (26, 27,</w:t>
      </w:r>
      <w:r w:rsidR="005868AB" w:rsidRPr="009C6D6C">
        <w:rPr>
          <w:rFonts w:asciiTheme="majorBidi" w:hAnsiTheme="majorBidi" w:cstheme="majorBidi"/>
          <w:noProof/>
          <w:lang w:val="tr-TR"/>
        </w:rPr>
        <w:t xml:space="preserve"> 33, 34,</w:t>
      </w:r>
      <w:r w:rsidRPr="009C6D6C">
        <w:rPr>
          <w:rFonts w:asciiTheme="majorBidi" w:hAnsiTheme="majorBidi" w:cstheme="majorBidi"/>
          <w:noProof/>
          <w:lang w:val="tr-TR"/>
        </w:rPr>
        <w:t xml:space="preserve"> 35. Maddeler) oluşmaktadır. Her bir faktör içine giren maddeler incelenerek oluşan alt boyutlar isimlendirilmiştir. Bu bağlamda birinci alt boyut </w:t>
      </w:r>
      <w:r w:rsidRPr="009C6D6C">
        <w:rPr>
          <w:rFonts w:asciiTheme="majorBidi" w:hAnsiTheme="majorBidi" w:cstheme="majorBidi"/>
          <w:i/>
          <w:iCs/>
          <w:noProof/>
          <w:lang w:val="tr-TR"/>
        </w:rPr>
        <w:t xml:space="preserve">Tahammülsüzlüğe karşı sabır </w:t>
      </w:r>
      <w:r w:rsidRPr="009C6D6C">
        <w:rPr>
          <w:rFonts w:asciiTheme="majorBidi" w:hAnsiTheme="majorBidi" w:cstheme="majorBidi"/>
          <w:noProof/>
          <w:lang w:val="tr-TR"/>
        </w:rPr>
        <w:t xml:space="preserve">alt boyutu olarak; ikinci alt boyut </w:t>
      </w:r>
      <w:r w:rsidRPr="009C6D6C">
        <w:rPr>
          <w:rFonts w:asciiTheme="majorBidi" w:hAnsiTheme="majorBidi" w:cstheme="majorBidi"/>
          <w:i/>
          <w:iCs/>
          <w:noProof/>
          <w:lang w:val="tr-TR"/>
        </w:rPr>
        <w:t xml:space="preserve">Aceleciliğe karşı sabır </w:t>
      </w:r>
      <w:r w:rsidRPr="009C6D6C">
        <w:rPr>
          <w:rFonts w:asciiTheme="majorBidi" w:hAnsiTheme="majorBidi" w:cstheme="majorBidi"/>
          <w:noProof/>
          <w:lang w:val="tr-TR"/>
        </w:rPr>
        <w:t xml:space="preserve">alt boyutu olarak; üçüncü alt boyut ise </w:t>
      </w:r>
      <w:r w:rsidRPr="009C6D6C">
        <w:rPr>
          <w:rFonts w:asciiTheme="majorBidi" w:hAnsiTheme="majorBidi" w:cstheme="majorBidi"/>
          <w:i/>
          <w:iCs/>
          <w:noProof/>
          <w:lang w:val="tr-TR"/>
        </w:rPr>
        <w:t xml:space="preserve">Öfkeye karşı sabır </w:t>
      </w:r>
      <w:r w:rsidRPr="009C6D6C">
        <w:rPr>
          <w:rFonts w:asciiTheme="majorBidi" w:hAnsiTheme="majorBidi" w:cstheme="majorBidi"/>
          <w:noProof/>
          <w:lang w:val="tr-TR"/>
        </w:rPr>
        <w:t>alt boyutu olarak isimlendirilmesi uygun görülmüştür.</w:t>
      </w:r>
    </w:p>
    <w:p w:rsidR="00685BA1" w:rsidRPr="009C6D6C" w:rsidRDefault="00685BA1" w:rsidP="00F612DA">
      <w:pPr>
        <w:autoSpaceDE w:val="0"/>
        <w:autoSpaceDN w:val="0"/>
        <w:adjustRightInd w:val="0"/>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Üniversite Öğrencileri Sabır Ölçeği’nin yapı geçerliğine yönelik ikinci kanıtına ise ölçeğin ölçmeyi hedeflediği özelliğe yüksek düzeyde sahip olanlar ile düşük düzeyde sahip olanları ne dere</w:t>
      </w:r>
      <w:r w:rsidR="007D4C8C" w:rsidRPr="009C6D6C">
        <w:rPr>
          <w:rFonts w:asciiTheme="majorBidi" w:hAnsiTheme="majorBidi" w:cstheme="majorBidi"/>
          <w:noProof/>
          <w:lang w:val="tr-TR"/>
        </w:rPr>
        <w:t>ce</w:t>
      </w:r>
      <w:r w:rsidRPr="009C6D6C">
        <w:rPr>
          <w:rFonts w:asciiTheme="majorBidi" w:hAnsiTheme="majorBidi" w:cstheme="majorBidi"/>
          <w:noProof/>
          <w:lang w:val="tr-TR"/>
        </w:rPr>
        <w:t xml:space="preserve"> ayırt ettiğini belirlemek amacıyla yapılan madde analizi sonucunda ulaşılmıştır. Üniversite öğrencilerinin Sabır Ölçeği’nden almış oldukları toplam puanlar yüksekten düşüğe doğru sıralanmıştır. Yapılan bu sıralama </w:t>
      </w:r>
      <w:r w:rsidR="007D4C8C" w:rsidRPr="009C6D6C">
        <w:rPr>
          <w:rFonts w:asciiTheme="majorBidi" w:hAnsiTheme="majorBidi" w:cstheme="majorBidi"/>
          <w:noProof/>
          <w:lang w:val="tr-TR"/>
        </w:rPr>
        <w:t xml:space="preserve">sonrasında üst ve alt %27’lik gruplardan 101 kişiden olmak üzere toplamda 202 kişi belirlenmiştir. Ölçeğin üst grup ile alt grubu birbirinden anlamlı derecede ayırt ettiğini belirlemek üzere </w:t>
      </w:r>
      <w:r w:rsidR="008A7B9F" w:rsidRPr="009C6D6C">
        <w:rPr>
          <w:rFonts w:asciiTheme="majorBidi" w:hAnsiTheme="majorBidi" w:cstheme="majorBidi"/>
          <w:noProof/>
          <w:lang w:val="tr-TR"/>
        </w:rPr>
        <w:t>Bağımsız Örneklemler t-testi yapılmıştır. t-testi sonuçları aşağıdaki tabloda verilmiştir:</w:t>
      </w:r>
    </w:p>
    <w:p w:rsidR="00160890" w:rsidRPr="009C6D6C" w:rsidRDefault="00160890" w:rsidP="00AA0EB7">
      <w:pPr>
        <w:autoSpaceDE w:val="0"/>
        <w:autoSpaceDN w:val="0"/>
        <w:adjustRightInd w:val="0"/>
        <w:spacing w:after="0" w:line="240" w:lineRule="auto"/>
        <w:ind w:firstLine="709"/>
        <w:jc w:val="both"/>
        <w:rPr>
          <w:rFonts w:asciiTheme="majorBidi" w:hAnsiTheme="majorBidi" w:cstheme="majorBidi"/>
          <w:noProof/>
          <w:lang w:val="tr-TR"/>
        </w:rPr>
      </w:pPr>
    </w:p>
    <w:p w:rsidR="00685BA1" w:rsidRPr="009C6D6C" w:rsidRDefault="00160890" w:rsidP="00AA0EB7">
      <w:pPr>
        <w:autoSpaceDE w:val="0"/>
        <w:autoSpaceDN w:val="0"/>
        <w:adjustRightInd w:val="0"/>
        <w:spacing w:after="0" w:line="240" w:lineRule="auto"/>
        <w:ind w:firstLine="709"/>
        <w:jc w:val="both"/>
        <w:rPr>
          <w:rFonts w:asciiTheme="majorBidi" w:hAnsiTheme="majorBidi" w:cstheme="majorBidi"/>
          <w:b/>
          <w:bCs/>
          <w:noProof/>
          <w:lang w:val="tr-TR"/>
        </w:rPr>
      </w:pPr>
      <w:r w:rsidRPr="009C6D6C">
        <w:rPr>
          <w:rFonts w:asciiTheme="majorBidi" w:hAnsiTheme="majorBidi" w:cstheme="majorBidi"/>
          <w:b/>
          <w:bCs/>
          <w:noProof/>
          <w:lang w:val="tr-TR"/>
        </w:rPr>
        <w:t>Tablo 3. Üniversite Öğrencileri Sabır Ölçeği’nin Toplam Puanlarına Göre Oluşturulan Üst %27 ve Alt %27’lik Grupların Madde Ortalama Puanlarına Ait Bağımsız Örneklemler t-testi Sonuçları</w:t>
      </w:r>
    </w:p>
    <w:p w:rsidR="000B1998" w:rsidRPr="009C6D6C" w:rsidRDefault="000B1998" w:rsidP="00AA0EB7">
      <w:pPr>
        <w:autoSpaceDE w:val="0"/>
        <w:autoSpaceDN w:val="0"/>
        <w:adjustRightInd w:val="0"/>
        <w:spacing w:after="0" w:line="240" w:lineRule="auto"/>
        <w:ind w:firstLine="709"/>
        <w:jc w:val="both"/>
        <w:rPr>
          <w:rFonts w:asciiTheme="majorBidi" w:hAnsiTheme="majorBidi" w:cstheme="majorBidi"/>
          <w:b/>
          <w:bCs/>
          <w:noProof/>
          <w:lang w:val="tr-TR"/>
        </w:rPr>
      </w:pPr>
    </w:p>
    <w:tbl>
      <w:tblPr>
        <w:tblStyle w:val="2"/>
        <w:tblW w:w="0" w:type="auto"/>
        <w:tblLook w:val="04A0" w:firstRow="1" w:lastRow="0" w:firstColumn="1" w:lastColumn="0" w:noHBand="0" w:noVBand="1"/>
      </w:tblPr>
      <w:tblGrid>
        <w:gridCol w:w="1150"/>
        <w:gridCol w:w="1150"/>
        <w:gridCol w:w="1150"/>
        <w:gridCol w:w="1150"/>
        <w:gridCol w:w="1150"/>
        <w:gridCol w:w="1150"/>
        <w:gridCol w:w="1150"/>
        <w:gridCol w:w="1151"/>
      </w:tblGrid>
      <w:tr w:rsidR="008A7B9F" w:rsidRPr="009C6D6C" w:rsidTr="008A7B9F">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1150" w:type="dxa"/>
          </w:tcPr>
          <w:p w:rsidR="008A7B9F" w:rsidRPr="009C6D6C" w:rsidRDefault="008A7B9F" w:rsidP="00AA0EB7">
            <w:pPr>
              <w:autoSpaceDE w:val="0"/>
              <w:autoSpaceDN w:val="0"/>
              <w:adjustRightInd w:val="0"/>
              <w:ind w:firstLine="709"/>
              <w:jc w:val="both"/>
              <w:rPr>
                <w:rFonts w:asciiTheme="majorBidi" w:hAnsiTheme="majorBidi" w:cstheme="majorBidi"/>
                <w:noProof/>
                <w:sz w:val="18"/>
                <w:szCs w:val="18"/>
                <w:lang w:val="tr-TR"/>
              </w:rPr>
            </w:pPr>
          </w:p>
        </w:tc>
        <w:tc>
          <w:tcPr>
            <w:tcW w:w="1150" w:type="dxa"/>
          </w:tcPr>
          <w:p w:rsidR="008A7B9F" w:rsidRPr="009C6D6C" w:rsidRDefault="008A7B9F" w:rsidP="00AA0EB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Gruplar</w:t>
            </w:r>
          </w:p>
        </w:tc>
        <w:tc>
          <w:tcPr>
            <w:tcW w:w="1150" w:type="dxa"/>
          </w:tcPr>
          <w:p w:rsidR="008A7B9F" w:rsidRPr="009C6D6C" w:rsidRDefault="008A7B9F" w:rsidP="00AA0EB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n</w:t>
            </w:r>
          </w:p>
        </w:tc>
        <w:tc>
          <w:tcPr>
            <w:tcW w:w="1150" w:type="dxa"/>
          </w:tcPr>
          <w:p w:rsidR="008A7B9F" w:rsidRPr="009C6D6C" w:rsidRDefault="008A7B9F" w:rsidP="00AA0EB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b w:val="0"/>
                <w:bCs w:val="0"/>
                <w:noProof/>
                <w:position w:val="-4"/>
                <w:sz w:val="18"/>
                <w:szCs w:val="18"/>
                <w:lang w:val="tr-TR"/>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5.6pt" o:ole="">
                  <v:imagedata r:id="rId8" o:title=""/>
                </v:shape>
                <o:OLEObject Type="Embed" ProgID="Equation.3" ShapeID="_x0000_i1025" DrawAspect="Content" ObjectID="_1604612162" r:id="rId9"/>
              </w:object>
            </w:r>
          </w:p>
        </w:tc>
        <w:tc>
          <w:tcPr>
            <w:tcW w:w="1150" w:type="dxa"/>
          </w:tcPr>
          <w:p w:rsidR="008A7B9F" w:rsidRPr="009C6D6C" w:rsidRDefault="008A7B9F" w:rsidP="00AA0EB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ss</w:t>
            </w:r>
          </w:p>
        </w:tc>
        <w:tc>
          <w:tcPr>
            <w:tcW w:w="1150" w:type="dxa"/>
          </w:tcPr>
          <w:p w:rsidR="008A7B9F" w:rsidRPr="009C6D6C" w:rsidRDefault="008A7B9F" w:rsidP="00AA0EB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sh</w:t>
            </w:r>
          </w:p>
        </w:tc>
        <w:tc>
          <w:tcPr>
            <w:tcW w:w="1150" w:type="dxa"/>
          </w:tcPr>
          <w:p w:rsidR="008A7B9F" w:rsidRPr="009C6D6C" w:rsidRDefault="008A7B9F" w:rsidP="00AA0EB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t</w:t>
            </w:r>
          </w:p>
        </w:tc>
        <w:tc>
          <w:tcPr>
            <w:tcW w:w="1151" w:type="dxa"/>
          </w:tcPr>
          <w:p w:rsidR="008A7B9F" w:rsidRPr="009C6D6C" w:rsidRDefault="008A7B9F" w:rsidP="00AA0EB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p</w:t>
            </w:r>
          </w:p>
        </w:tc>
      </w:tr>
      <w:tr w:rsidR="008A7B9F" w:rsidRPr="009C6D6C" w:rsidTr="008A7B9F">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150" w:type="dxa"/>
            <w:vMerge w:val="restart"/>
            <w:vAlign w:val="center"/>
          </w:tcPr>
          <w:p w:rsidR="008A7B9F" w:rsidRPr="009C6D6C" w:rsidRDefault="008A7B9F" w:rsidP="00AA0EB7">
            <w:pPr>
              <w:jc w:val="both"/>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Sabır Ölçeği</w:t>
            </w:r>
          </w:p>
        </w:tc>
        <w:tc>
          <w:tcPr>
            <w:tcW w:w="1150" w:type="dxa"/>
          </w:tcPr>
          <w:p w:rsidR="008A7B9F" w:rsidRPr="009C6D6C" w:rsidRDefault="008A7B9F" w:rsidP="00AA0EB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Üst Grup</w:t>
            </w:r>
          </w:p>
        </w:tc>
        <w:tc>
          <w:tcPr>
            <w:tcW w:w="1150" w:type="dxa"/>
          </w:tcPr>
          <w:p w:rsidR="008A7B9F" w:rsidRPr="009C6D6C" w:rsidRDefault="008A7B9F" w:rsidP="00AA0EB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101</w:t>
            </w:r>
          </w:p>
        </w:tc>
        <w:tc>
          <w:tcPr>
            <w:tcW w:w="1150" w:type="dxa"/>
          </w:tcPr>
          <w:p w:rsidR="008A7B9F" w:rsidRPr="009C6D6C" w:rsidRDefault="008A7B9F"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10205"/>
                <w:sz w:val="18"/>
                <w:szCs w:val="18"/>
                <w:lang w:val="tr-TR"/>
              </w:rPr>
            </w:pPr>
            <w:r w:rsidRPr="009C6D6C">
              <w:rPr>
                <w:rFonts w:asciiTheme="majorBidi" w:hAnsiTheme="majorBidi" w:cstheme="majorBidi"/>
                <w:noProof/>
                <w:color w:val="010205"/>
                <w:sz w:val="18"/>
                <w:szCs w:val="18"/>
                <w:lang w:val="tr-TR"/>
              </w:rPr>
              <w:t>4,08</w:t>
            </w:r>
          </w:p>
        </w:tc>
        <w:tc>
          <w:tcPr>
            <w:tcW w:w="1150" w:type="dxa"/>
          </w:tcPr>
          <w:p w:rsidR="008A7B9F" w:rsidRPr="009C6D6C" w:rsidRDefault="008A7B9F"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10205"/>
                <w:sz w:val="18"/>
                <w:szCs w:val="18"/>
                <w:lang w:val="tr-TR"/>
              </w:rPr>
            </w:pPr>
            <w:r w:rsidRPr="009C6D6C">
              <w:rPr>
                <w:rFonts w:asciiTheme="majorBidi" w:hAnsiTheme="majorBidi" w:cstheme="majorBidi"/>
                <w:noProof/>
                <w:color w:val="010205"/>
                <w:sz w:val="18"/>
                <w:szCs w:val="18"/>
                <w:lang w:val="tr-TR"/>
              </w:rPr>
              <w:t>0,192</w:t>
            </w:r>
          </w:p>
        </w:tc>
        <w:tc>
          <w:tcPr>
            <w:tcW w:w="1150" w:type="dxa"/>
          </w:tcPr>
          <w:p w:rsidR="008A7B9F" w:rsidRPr="009C6D6C" w:rsidRDefault="008A7B9F"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10205"/>
                <w:sz w:val="18"/>
                <w:szCs w:val="18"/>
                <w:lang w:val="tr-TR"/>
              </w:rPr>
            </w:pPr>
            <w:r w:rsidRPr="009C6D6C">
              <w:rPr>
                <w:rFonts w:asciiTheme="majorBidi" w:hAnsiTheme="majorBidi" w:cstheme="majorBidi"/>
                <w:noProof/>
                <w:color w:val="010205"/>
                <w:sz w:val="18"/>
                <w:szCs w:val="18"/>
                <w:lang w:val="tr-TR"/>
              </w:rPr>
              <w:t>0,019</w:t>
            </w:r>
          </w:p>
        </w:tc>
        <w:tc>
          <w:tcPr>
            <w:tcW w:w="1150" w:type="dxa"/>
            <w:vMerge w:val="restart"/>
            <w:vAlign w:val="center"/>
          </w:tcPr>
          <w:p w:rsidR="008A7B9F" w:rsidRPr="009C6D6C" w:rsidRDefault="008A7B9F"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10205"/>
                <w:sz w:val="18"/>
                <w:szCs w:val="18"/>
                <w:lang w:val="tr-TR"/>
              </w:rPr>
            </w:pPr>
            <w:r w:rsidRPr="009C6D6C">
              <w:rPr>
                <w:rFonts w:asciiTheme="majorBidi" w:hAnsiTheme="majorBidi" w:cstheme="majorBidi"/>
                <w:noProof/>
                <w:color w:val="010205"/>
                <w:sz w:val="18"/>
                <w:szCs w:val="18"/>
                <w:lang w:val="tr-TR"/>
              </w:rPr>
              <w:t>30,81</w:t>
            </w:r>
          </w:p>
        </w:tc>
        <w:tc>
          <w:tcPr>
            <w:tcW w:w="1151" w:type="dxa"/>
            <w:vMerge w:val="restart"/>
            <w:vAlign w:val="center"/>
          </w:tcPr>
          <w:p w:rsidR="008A7B9F" w:rsidRPr="009C6D6C" w:rsidRDefault="008A7B9F" w:rsidP="00AA0EB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10205"/>
                <w:sz w:val="18"/>
                <w:szCs w:val="18"/>
                <w:lang w:val="tr-TR"/>
              </w:rPr>
            </w:pPr>
            <w:r w:rsidRPr="009C6D6C">
              <w:rPr>
                <w:rFonts w:asciiTheme="majorBidi" w:hAnsiTheme="majorBidi" w:cstheme="majorBidi"/>
                <w:noProof/>
                <w:color w:val="010205"/>
                <w:sz w:val="18"/>
                <w:szCs w:val="18"/>
                <w:lang w:val="tr-TR"/>
              </w:rPr>
              <w:t>0,000</w:t>
            </w:r>
          </w:p>
        </w:tc>
      </w:tr>
      <w:tr w:rsidR="008A7B9F" w:rsidRPr="009C6D6C" w:rsidTr="008A7B9F">
        <w:trPr>
          <w:trHeight w:val="711"/>
        </w:trPr>
        <w:tc>
          <w:tcPr>
            <w:cnfStyle w:val="001000000000" w:firstRow="0" w:lastRow="0" w:firstColumn="1" w:lastColumn="0" w:oddVBand="0" w:evenVBand="0" w:oddHBand="0" w:evenHBand="0" w:firstRowFirstColumn="0" w:firstRowLastColumn="0" w:lastRowFirstColumn="0" w:lastRowLastColumn="0"/>
            <w:tcW w:w="1150" w:type="dxa"/>
            <w:vMerge/>
          </w:tcPr>
          <w:p w:rsidR="008A7B9F" w:rsidRPr="009C6D6C" w:rsidRDefault="008A7B9F" w:rsidP="00AA0EB7">
            <w:pPr>
              <w:jc w:val="both"/>
              <w:rPr>
                <w:rFonts w:asciiTheme="majorBidi" w:hAnsiTheme="majorBidi" w:cstheme="majorBidi"/>
                <w:noProof/>
                <w:sz w:val="18"/>
                <w:szCs w:val="18"/>
                <w:lang w:val="tr-TR"/>
              </w:rPr>
            </w:pPr>
          </w:p>
        </w:tc>
        <w:tc>
          <w:tcPr>
            <w:tcW w:w="1150" w:type="dxa"/>
          </w:tcPr>
          <w:p w:rsidR="008A7B9F" w:rsidRPr="009C6D6C" w:rsidRDefault="008A7B9F" w:rsidP="00AA0EB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Alt Grup</w:t>
            </w:r>
          </w:p>
        </w:tc>
        <w:tc>
          <w:tcPr>
            <w:tcW w:w="1150" w:type="dxa"/>
          </w:tcPr>
          <w:p w:rsidR="008A7B9F" w:rsidRPr="009C6D6C" w:rsidRDefault="008A7B9F" w:rsidP="00AA0EB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101</w:t>
            </w:r>
          </w:p>
        </w:tc>
        <w:tc>
          <w:tcPr>
            <w:tcW w:w="1150" w:type="dxa"/>
          </w:tcPr>
          <w:p w:rsidR="008A7B9F" w:rsidRPr="009C6D6C" w:rsidRDefault="008A7B9F" w:rsidP="00AA0EB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10205"/>
                <w:sz w:val="18"/>
                <w:szCs w:val="18"/>
                <w:lang w:val="tr-TR"/>
              </w:rPr>
            </w:pPr>
            <w:r w:rsidRPr="009C6D6C">
              <w:rPr>
                <w:rFonts w:asciiTheme="majorBidi" w:hAnsiTheme="majorBidi" w:cstheme="majorBidi"/>
                <w:noProof/>
                <w:color w:val="010205"/>
                <w:sz w:val="18"/>
                <w:szCs w:val="18"/>
                <w:lang w:val="tr-TR"/>
              </w:rPr>
              <w:t>2,55</w:t>
            </w:r>
          </w:p>
        </w:tc>
        <w:tc>
          <w:tcPr>
            <w:tcW w:w="1150" w:type="dxa"/>
          </w:tcPr>
          <w:p w:rsidR="008A7B9F" w:rsidRPr="009C6D6C" w:rsidRDefault="008A7B9F" w:rsidP="00AA0EB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10205"/>
                <w:sz w:val="18"/>
                <w:szCs w:val="18"/>
                <w:lang w:val="tr-TR"/>
              </w:rPr>
            </w:pPr>
            <w:r w:rsidRPr="009C6D6C">
              <w:rPr>
                <w:rFonts w:asciiTheme="majorBidi" w:hAnsiTheme="majorBidi" w:cstheme="majorBidi"/>
                <w:noProof/>
                <w:color w:val="010205"/>
                <w:sz w:val="18"/>
                <w:szCs w:val="18"/>
                <w:lang w:val="tr-TR"/>
              </w:rPr>
              <w:t>0,461</w:t>
            </w:r>
          </w:p>
        </w:tc>
        <w:tc>
          <w:tcPr>
            <w:tcW w:w="1150" w:type="dxa"/>
          </w:tcPr>
          <w:p w:rsidR="008A7B9F" w:rsidRPr="009C6D6C" w:rsidRDefault="008A7B9F" w:rsidP="00AA0EB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10205"/>
                <w:sz w:val="18"/>
                <w:szCs w:val="18"/>
                <w:lang w:val="tr-TR"/>
              </w:rPr>
            </w:pPr>
            <w:r w:rsidRPr="009C6D6C">
              <w:rPr>
                <w:rFonts w:asciiTheme="majorBidi" w:hAnsiTheme="majorBidi" w:cstheme="majorBidi"/>
                <w:noProof/>
                <w:color w:val="010205"/>
                <w:sz w:val="18"/>
                <w:szCs w:val="18"/>
                <w:lang w:val="tr-TR"/>
              </w:rPr>
              <w:t>0,045</w:t>
            </w:r>
          </w:p>
        </w:tc>
        <w:tc>
          <w:tcPr>
            <w:tcW w:w="1150" w:type="dxa"/>
            <w:vMerge/>
          </w:tcPr>
          <w:p w:rsidR="008A7B9F" w:rsidRPr="009C6D6C" w:rsidRDefault="008A7B9F" w:rsidP="00AA0EB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10205"/>
                <w:sz w:val="18"/>
                <w:szCs w:val="18"/>
                <w:lang w:val="tr-TR"/>
              </w:rPr>
            </w:pPr>
          </w:p>
        </w:tc>
        <w:tc>
          <w:tcPr>
            <w:tcW w:w="1151" w:type="dxa"/>
            <w:vMerge/>
          </w:tcPr>
          <w:p w:rsidR="008A7B9F" w:rsidRPr="009C6D6C" w:rsidRDefault="008A7B9F" w:rsidP="00AA0EB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10205"/>
                <w:sz w:val="18"/>
                <w:szCs w:val="18"/>
                <w:lang w:val="tr-TR"/>
              </w:rPr>
            </w:pPr>
          </w:p>
        </w:tc>
      </w:tr>
    </w:tbl>
    <w:p w:rsidR="008A7B9F" w:rsidRPr="009C6D6C" w:rsidRDefault="008A7B9F" w:rsidP="00AA0EB7">
      <w:pPr>
        <w:autoSpaceDE w:val="0"/>
        <w:autoSpaceDN w:val="0"/>
        <w:adjustRightInd w:val="0"/>
        <w:spacing w:after="0" w:line="240" w:lineRule="auto"/>
        <w:ind w:firstLine="709"/>
        <w:jc w:val="both"/>
        <w:rPr>
          <w:rFonts w:asciiTheme="majorBidi" w:hAnsiTheme="majorBidi" w:cstheme="majorBidi"/>
          <w:noProof/>
          <w:lang w:val="tr-TR"/>
        </w:rPr>
      </w:pPr>
    </w:p>
    <w:p w:rsidR="00160890" w:rsidRPr="009C6D6C" w:rsidRDefault="008A7B9F" w:rsidP="00456076">
      <w:pPr>
        <w:autoSpaceDE w:val="0"/>
        <w:autoSpaceDN w:val="0"/>
        <w:adjustRightInd w:val="0"/>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Yukarıdaki tabloda görüldüğü gibi Üniversite Öğrencileri Sabır Ölçeği</w:t>
      </w:r>
      <w:r w:rsidR="00160890" w:rsidRPr="009C6D6C">
        <w:rPr>
          <w:rFonts w:asciiTheme="majorBidi" w:hAnsiTheme="majorBidi" w:cstheme="majorBidi"/>
          <w:noProof/>
          <w:lang w:val="tr-TR"/>
        </w:rPr>
        <w:t xml:space="preserve"> toplam puanlarına göre oluşturulan</w:t>
      </w:r>
      <w:r w:rsidRPr="009C6D6C">
        <w:rPr>
          <w:rFonts w:asciiTheme="majorBidi" w:hAnsiTheme="majorBidi" w:cstheme="majorBidi"/>
          <w:noProof/>
          <w:lang w:val="tr-TR"/>
        </w:rPr>
        <w:t xml:space="preserve"> alt ve üst gruplar</w:t>
      </w:r>
      <w:r w:rsidR="00160890" w:rsidRPr="009C6D6C">
        <w:rPr>
          <w:rFonts w:asciiTheme="majorBidi" w:hAnsiTheme="majorBidi" w:cstheme="majorBidi"/>
          <w:noProof/>
          <w:lang w:val="tr-TR"/>
        </w:rPr>
        <w:t>ın madde ortalama puanları arasındaki farkın</w:t>
      </w:r>
      <w:r w:rsidRPr="009C6D6C">
        <w:rPr>
          <w:rFonts w:asciiTheme="majorBidi" w:hAnsiTheme="majorBidi" w:cstheme="majorBidi"/>
          <w:noProof/>
          <w:lang w:val="tr-TR"/>
        </w:rPr>
        <w:t xml:space="preserve"> anlamlı </w:t>
      </w:r>
      <w:r w:rsidR="00160890" w:rsidRPr="009C6D6C">
        <w:rPr>
          <w:rFonts w:asciiTheme="majorBidi" w:hAnsiTheme="majorBidi" w:cstheme="majorBidi"/>
          <w:noProof/>
          <w:lang w:val="tr-TR"/>
        </w:rPr>
        <w:t>şekilde farklılaşması (p≤,05), Üniversite Öğrencileri Sabır Ölçeği’nin sabır düzeylerini ayırt ettiği sonucnu ortaya çıkarmıştır.</w:t>
      </w:r>
    </w:p>
    <w:p w:rsidR="000B1998" w:rsidRPr="009C6D6C" w:rsidRDefault="000B1998" w:rsidP="00AA0EB7">
      <w:pPr>
        <w:autoSpaceDE w:val="0"/>
        <w:autoSpaceDN w:val="0"/>
        <w:adjustRightInd w:val="0"/>
        <w:spacing w:after="0" w:line="240" w:lineRule="auto"/>
        <w:ind w:firstLine="709"/>
        <w:jc w:val="both"/>
        <w:rPr>
          <w:rFonts w:asciiTheme="majorBidi" w:hAnsiTheme="majorBidi" w:cstheme="majorBidi"/>
          <w:noProof/>
          <w:lang w:val="tr-TR"/>
        </w:rPr>
      </w:pPr>
    </w:p>
    <w:p w:rsidR="003E1571" w:rsidRPr="009C6D6C" w:rsidRDefault="003E1571" w:rsidP="000B1998">
      <w:pPr>
        <w:spacing w:after="0" w:line="240" w:lineRule="auto"/>
        <w:jc w:val="both"/>
        <w:rPr>
          <w:rFonts w:asciiTheme="majorBidi" w:hAnsiTheme="majorBidi" w:cstheme="majorBidi"/>
          <w:b/>
          <w:bCs/>
          <w:i/>
          <w:iCs/>
          <w:noProof/>
          <w:lang w:val="tr-TR"/>
        </w:rPr>
      </w:pPr>
      <w:r w:rsidRPr="009C6D6C">
        <w:rPr>
          <w:rFonts w:asciiTheme="majorBidi" w:hAnsiTheme="majorBidi" w:cstheme="majorBidi"/>
          <w:b/>
          <w:bCs/>
          <w:i/>
          <w:iCs/>
          <w:noProof/>
          <w:lang w:val="tr-TR"/>
        </w:rPr>
        <w:t>Uyum Geçerliği</w:t>
      </w:r>
    </w:p>
    <w:p w:rsidR="000B1998" w:rsidRPr="009C6D6C" w:rsidRDefault="000B1998" w:rsidP="000B1998">
      <w:pPr>
        <w:pStyle w:val="a4"/>
        <w:spacing w:after="0" w:line="240" w:lineRule="auto"/>
        <w:ind w:left="1069"/>
        <w:jc w:val="both"/>
        <w:rPr>
          <w:rFonts w:asciiTheme="majorBidi" w:hAnsiTheme="majorBidi" w:cstheme="majorBidi"/>
          <w:b/>
          <w:bCs/>
          <w:noProof/>
          <w:lang w:val="tr-TR"/>
        </w:rPr>
      </w:pPr>
    </w:p>
    <w:p w:rsidR="003E1571" w:rsidRPr="009C6D6C" w:rsidRDefault="003E1571" w:rsidP="00456076">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Ölçeğin geçerlik çalışmaları kapsamında daha önce Schnitker’e ait olan 11 maddelik genel sabrı ölçen “Sabır Ölçeği” ile uyum geçerliğine bakılmıştır. Uyum geçerliği aynı amaca yönelik geliştirilmiş olan farklı bir ölçek ile yapılan paralel uygulama neticesinde ortaya çıkan korelasyon değerlerine bakılarak yapılan bir yöntemdir (Bajpai ve Bajpai, 2014:175). Bu bağlamda yapılan Pearson Korelasyon Analizi sonucunda iki ölçek arasındaki korelasyon değeri 0,41 olarak hesaplanmıştır. İki ölçek arasındaki korelasyon değerinin 0,41 olarak bulunmuş olması iki ölçek arasında pozitif yönde anlamlı bir ilişki olduğunu dolayısıyla uyum geçerliliğinin de sağlandığını göstermektedir.</w:t>
      </w:r>
    </w:p>
    <w:p w:rsidR="003E1571" w:rsidRPr="009C6D6C" w:rsidRDefault="003E1571" w:rsidP="00AA0EB7">
      <w:pPr>
        <w:spacing w:after="0" w:line="240" w:lineRule="auto"/>
        <w:ind w:firstLine="709"/>
        <w:jc w:val="both"/>
        <w:rPr>
          <w:rFonts w:asciiTheme="majorBidi" w:hAnsiTheme="majorBidi" w:cstheme="majorBidi"/>
          <w:noProof/>
          <w:lang w:val="tr-TR"/>
        </w:rPr>
      </w:pPr>
    </w:p>
    <w:p w:rsidR="003E1571" w:rsidRPr="009C6D6C" w:rsidRDefault="000B1998" w:rsidP="000B1998">
      <w:pPr>
        <w:autoSpaceDE w:val="0"/>
        <w:autoSpaceDN w:val="0"/>
        <w:adjustRightInd w:val="0"/>
        <w:spacing w:after="0" w:line="240" w:lineRule="auto"/>
        <w:jc w:val="both"/>
        <w:rPr>
          <w:rFonts w:asciiTheme="majorBidi" w:hAnsiTheme="majorBidi" w:cstheme="majorBidi"/>
          <w:b/>
          <w:bCs/>
          <w:noProof/>
          <w:lang w:val="tr-TR"/>
        </w:rPr>
      </w:pPr>
      <w:r w:rsidRPr="009C6D6C">
        <w:rPr>
          <w:rFonts w:asciiTheme="majorBidi" w:hAnsiTheme="majorBidi" w:cstheme="majorBidi"/>
          <w:b/>
          <w:bCs/>
          <w:noProof/>
          <w:lang w:val="tr-TR"/>
        </w:rPr>
        <w:t>Güvenirlik Analizleri</w:t>
      </w:r>
    </w:p>
    <w:p w:rsidR="000B1998" w:rsidRPr="009C6D6C" w:rsidRDefault="000B1998" w:rsidP="000B1998">
      <w:pPr>
        <w:autoSpaceDE w:val="0"/>
        <w:autoSpaceDN w:val="0"/>
        <w:adjustRightInd w:val="0"/>
        <w:spacing w:after="0" w:line="240" w:lineRule="auto"/>
        <w:jc w:val="both"/>
        <w:rPr>
          <w:rFonts w:asciiTheme="majorBidi" w:hAnsiTheme="majorBidi" w:cstheme="majorBidi"/>
          <w:b/>
          <w:bCs/>
          <w:noProof/>
          <w:lang w:val="tr-TR"/>
        </w:rPr>
      </w:pPr>
    </w:p>
    <w:p w:rsidR="003E1571" w:rsidRPr="009C6D6C" w:rsidRDefault="003E1571" w:rsidP="000B1998">
      <w:pPr>
        <w:autoSpaceDE w:val="0"/>
        <w:autoSpaceDN w:val="0"/>
        <w:adjustRightInd w:val="0"/>
        <w:spacing w:after="0" w:line="240" w:lineRule="auto"/>
        <w:jc w:val="both"/>
        <w:rPr>
          <w:rFonts w:asciiTheme="majorBidi" w:hAnsiTheme="majorBidi" w:cstheme="majorBidi"/>
          <w:b/>
          <w:bCs/>
          <w:i/>
          <w:iCs/>
          <w:noProof/>
          <w:lang w:val="tr-TR"/>
        </w:rPr>
      </w:pPr>
      <w:r w:rsidRPr="009C6D6C">
        <w:rPr>
          <w:rFonts w:asciiTheme="majorBidi" w:hAnsiTheme="majorBidi" w:cstheme="majorBidi"/>
          <w:b/>
          <w:bCs/>
          <w:i/>
          <w:iCs/>
          <w:noProof/>
          <w:lang w:val="tr-TR"/>
        </w:rPr>
        <w:t>Crombach Alpha Güvenirliği</w:t>
      </w:r>
    </w:p>
    <w:p w:rsidR="000B1998" w:rsidRPr="009C6D6C" w:rsidRDefault="000B1998" w:rsidP="000B1998">
      <w:pPr>
        <w:autoSpaceDE w:val="0"/>
        <w:autoSpaceDN w:val="0"/>
        <w:adjustRightInd w:val="0"/>
        <w:spacing w:after="0" w:line="240" w:lineRule="auto"/>
        <w:jc w:val="both"/>
        <w:rPr>
          <w:rFonts w:asciiTheme="majorBidi" w:hAnsiTheme="majorBidi" w:cstheme="majorBidi"/>
          <w:b/>
          <w:bCs/>
          <w:i/>
          <w:iCs/>
          <w:noProof/>
          <w:lang w:val="tr-TR"/>
        </w:rPr>
      </w:pPr>
    </w:p>
    <w:p w:rsidR="003E1571" w:rsidRPr="009C6D6C" w:rsidRDefault="00993743" w:rsidP="000B1998">
      <w:pPr>
        <w:autoSpaceDE w:val="0"/>
        <w:autoSpaceDN w:val="0"/>
        <w:adjustRightInd w:val="0"/>
        <w:spacing w:after="0" w:line="240" w:lineRule="auto"/>
        <w:ind w:firstLine="709"/>
        <w:jc w:val="center"/>
        <w:rPr>
          <w:rFonts w:ascii="Times New Roman" w:hAnsi="Times New Roman" w:cs="Times New Roman"/>
          <w:b/>
          <w:bCs/>
          <w:noProof/>
          <w:lang w:val="tr-TR"/>
        </w:rPr>
      </w:pPr>
      <w:r w:rsidRPr="009C6D6C">
        <w:rPr>
          <w:rFonts w:ascii="Times New Roman" w:hAnsi="Times New Roman" w:cs="Times New Roman"/>
          <w:b/>
          <w:bCs/>
          <w:noProof/>
          <w:lang w:val="tr-TR"/>
        </w:rPr>
        <w:t xml:space="preserve">Tablo </w:t>
      </w:r>
      <w:r w:rsidR="004E0DEE" w:rsidRPr="009C6D6C">
        <w:rPr>
          <w:rFonts w:ascii="Times New Roman" w:hAnsi="Times New Roman" w:cs="Times New Roman"/>
          <w:b/>
          <w:bCs/>
          <w:noProof/>
          <w:lang w:val="tr-TR"/>
        </w:rPr>
        <w:t>4</w:t>
      </w:r>
      <w:r w:rsidRPr="009C6D6C">
        <w:rPr>
          <w:rFonts w:ascii="Times New Roman" w:hAnsi="Times New Roman" w:cs="Times New Roman"/>
          <w:b/>
          <w:bCs/>
          <w:noProof/>
          <w:lang w:val="tr-TR"/>
        </w:rPr>
        <w:t xml:space="preserve">. </w:t>
      </w:r>
      <w:r w:rsidR="003E1571" w:rsidRPr="009C6D6C">
        <w:rPr>
          <w:rFonts w:ascii="Times New Roman" w:hAnsi="Times New Roman" w:cs="Times New Roman"/>
          <w:b/>
          <w:bCs/>
          <w:noProof/>
          <w:lang w:val="tr-TR"/>
        </w:rPr>
        <w:t>Ölçeğin Geneli ve Faktör Analizi Sonucunda Belirlenen Altboyutlara ait Cronbach’s Alpha Değerleri</w:t>
      </w:r>
    </w:p>
    <w:p w:rsidR="000B1998" w:rsidRPr="009C6D6C" w:rsidRDefault="000B1998" w:rsidP="000B1998">
      <w:pPr>
        <w:autoSpaceDE w:val="0"/>
        <w:autoSpaceDN w:val="0"/>
        <w:adjustRightInd w:val="0"/>
        <w:spacing w:after="0" w:line="240" w:lineRule="auto"/>
        <w:ind w:firstLine="709"/>
        <w:jc w:val="center"/>
        <w:rPr>
          <w:rFonts w:ascii="Times New Roman" w:hAnsi="Times New Roman" w:cs="Times New Roman"/>
          <w:b/>
          <w:bCs/>
          <w:noProof/>
          <w:lang w:val="tr-TR"/>
        </w:rPr>
      </w:pPr>
    </w:p>
    <w:tbl>
      <w:tblPr>
        <w:tblStyle w:val="2"/>
        <w:tblW w:w="0" w:type="auto"/>
        <w:tblLook w:val="04A0" w:firstRow="1" w:lastRow="0" w:firstColumn="1" w:lastColumn="0" w:noHBand="0" w:noVBand="1"/>
      </w:tblPr>
      <w:tblGrid>
        <w:gridCol w:w="4536"/>
        <w:gridCol w:w="3527"/>
      </w:tblGrid>
      <w:tr w:rsidR="003E1571" w:rsidRPr="009C6D6C" w:rsidTr="00B47E88">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536" w:type="dxa"/>
          </w:tcPr>
          <w:p w:rsidR="003E1571" w:rsidRPr="009C6D6C" w:rsidRDefault="003E1571" w:rsidP="00AA0EB7">
            <w:pPr>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Faktör</w:t>
            </w:r>
          </w:p>
        </w:tc>
        <w:tc>
          <w:tcPr>
            <w:tcW w:w="3527" w:type="dxa"/>
          </w:tcPr>
          <w:p w:rsidR="003E1571" w:rsidRPr="009C6D6C" w:rsidRDefault="003E1571" w:rsidP="00AA0EB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Cronbach’s Alpha Değeri</w:t>
            </w:r>
          </w:p>
        </w:tc>
      </w:tr>
      <w:tr w:rsidR="003E1571" w:rsidRPr="009C6D6C" w:rsidTr="00B47E8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536" w:type="dxa"/>
          </w:tcPr>
          <w:p w:rsidR="003E1571" w:rsidRPr="009C6D6C" w:rsidRDefault="003E1571" w:rsidP="00AA0EB7">
            <w:pPr>
              <w:rPr>
                <w:rFonts w:asciiTheme="majorBidi" w:hAnsiTheme="majorBidi" w:cstheme="majorBidi"/>
                <w:b w:val="0"/>
                <w:bCs w:val="0"/>
                <w:noProof/>
                <w:sz w:val="18"/>
                <w:szCs w:val="18"/>
                <w:lang w:val="tr-TR"/>
              </w:rPr>
            </w:pPr>
            <w:r w:rsidRPr="009C6D6C">
              <w:rPr>
                <w:rFonts w:asciiTheme="majorBidi" w:hAnsiTheme="majorBidi" w:cstheme="majorBidi"/>
                <w:b w:val="0"/>
                <w:bCs w:val="0"/>
                <w:noProof/>
                <w:sz w:val="18"/>
                <w:szCs w:val="18"/>
                <w:lang w:val="tr-TR"/>
              </w:rPr>
              <w:t>Tahammülsüzlüğe Karşı Sabır</w:t>
            </w:r>
          </w:p>
        </w:tc>
        <w:tc>
          <w:tcPr>
            <w:tcW w:w="3527" w:type="dxa"/>
          </w:tcPr>
          <w:p w:rsidR="003E1571" w:rsidRPr="009C6D6C" w:rsidRDefault="003E1571" w:rsidP="00AA0EB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0.91</w:t>
            </w:r>
          </w:p>
        </w:tc>
      </w:tr>
      <w:tr w:rsidR="003E1571" w:rsidRPr="009C6D6C" w:rsidTr="00B47E88">
        <w:trPr>
          <w:trHeight w:val="521"/>
        </w:trPr>
        <w:tc>
          <w:tcPr>
            <w:cnfStyle w:val="001000000000" w:firstRow="0" w:lastRow="0" w:firstColumn="1" w:lastColumn="0" w:oddVBand="0" w:evenVBand="0" w:oddHBand="0" w:evenHBand="0" w:firstRowFirstColumn="0" w:firstRowLastColumn="0" w:lastRowFirstColumn="0" w:lastRowLastColumn="0"/>
            <w:tcW w:w="4536" w:type="dxa"/>
          </w:tcPr>
          <w:p w:rsidR="003E1571" w:rsidRPr="009C6D6C" w:rsidRDefault="003E1571" w:rsidP="00AA0EB7">
            <w:pPr>
              <w:rPr>
                <w:rFonts w:asciiTheme="majorBidi" w:hAnsiTheme="majorBidi" w:cstheme="majorBidi"/>
                <w:b w:val="0"/>
                <w:bCs w:val="0"/>
                <w:noProof/>
                <w:sz w:val="18"/>
                <w:szCs w:val="18"/>
                <w:lang w:val="tr-TR"/>
              </w:rPr>
            </w:pPr>
            <w:r w:rsidRPr="009C6D6C">
              <w:rPr>
                <w:rFonts w:asciiTheme="majorBidi" w:hAnsiTheme="majorBidi" w:cstheme="majorBidi"/>
                <w:b w:val="0"/>
                <w:bCs w:val="0"/>
                <w:noProof/>
                <w:sz w:val="18"/>
                <w:szCs w:val="18"/>
                <w:lang w:val="tr-TR"/>
              </w:rPr>
              <w:t>Aceleciliğe Karşı Sabır</w:t>
            </w:r>
          </w:p>
        </w:tc>
        <w:tc>
          <w:tcPr>
            <w:tcW w:w="3527" w:type="dxa"/>
          </w:tcPr>
          <w:p w:rsidR="003E1571" w:rsidRPr="009C6D6C" w:rsidRDefault="003E1571" w:rsidP="00AA0E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0.70</w:t>
            </w:r>
          </w:p>
        </w:tc>
      </w:tr>
      <w:tr w:rsidR="003E1571" w:rsidRPr="009C6D6C" w:rsidTr="00B47E8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536" w:type="dxa"/>
          </w:tcPr>
          <w:p w:rsidR="003E1571" w:rsidRPr="009C6D6C" w:rsidRDefault="003E1571" w:rsidP="00AA0EB7">
            <w:pPr>
              <w:rPr>
                <w:rFonts w:asciiTheme="majorBidi" w:hAnsiTheme="majorBidi" w:cstheme="majorBidi"/>
                <w:b w:val="0"/>
                <w:bCs w:val="0"/>
                <w:noProof/>
                <w:sz w:val="18"/>
                <w:szCs w:val="18"/>
                <w:lang w:val="tr-TR"/>
              </w:rPr>
            </w:pPr>
            <w:r w:rsidRPr="009C6D6C">
              <w:rPr>
                <w:rFonts w:asciiTheme="majorBidi" w:hAnsiTheme="majorBidi" w:cstheme="majorBidi"/>
                <w:b w:val="0"/>
                <w:bCs w:val="0"/>
                <w:noProof/>
                <w:sz w:val="18"/>
                <w:szCs w:val="18"/>
                <w:lang w:val="tr-TR"/>
              </w:rPr>
              <w:t>Öfkeye Karşı Sabır</w:t>
            </w:r>
          </w:p>
        </w:tc>
        <w:tc>
          <w:tcPr>
            <w:tcW w:w="3527" w:type="dxa"/>
          </w:tcPr>
          <w:p w:rsidR="003E1571" w:rsidRPr="009C6D6C" w:rsidRDefault="00586EE0" w:rsidP="00AA0EB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0</w:t>
            </w:r>
            <w:r w:rsidR="003E1571" w:rsidRPr="009C6D6C">
              <w:rPr>
                <w:rFonts w:asciiTheme="majorBidi" w:hAnsiTheme="majorBidi" w:cstheme="majorBidi"/>
                <w:noProof/>
                <w:sz w:val="18"/>
                <w:szCs w:val="18"/>
                <w:lang w:val="tr-TR"/>
              </w:rPr>
              <w:t>.77</w:t>
            </w:r>
          </w:p>
        </w:tc>
      </w:tr>
    </w:tbl>
    <w:p w:rsidR="003E1571" w:rsidRPr="009C6D6C" w:rsidRDefault="003E1571" w:rsidP="00AA0EB7">
      <w:pPr>
        <w:autoSpaceDE w:val="0"/>
        <w:autoSpaceDN w:val="0"/>
        <w:adjustRightInd w:val="0"/>
        <w:spacing w:after="0" w:line="240" w:lineRule="auto"/>
        <w:jc w:val="both"/>
        <w:rPr>
          <w:rFonts w:ascii="Times New Roman" w:hAnsi="Times New Roman" w:cs="Times New Roman"/>
          <w:noProof/>
          <w:lang w:val="tr-TR"/>
        </w:rPr>
      </w:pPr>
    </w:p>
    <w:p w:rsidR="003E1571" w:rsidRPr="009C6D6C" w:rsidRDefault="003E1571" w:rsidP="00143223">
      <w:pPr>
        <w:autoSpaceDE w:val="0"/>
        <w:autoSpaceDN w:val="0"/>
        <w:adjustRightInd w:val="0"/>
        <w:spacing w:before="120" w:after="120" w:line="240" w:lineRule="auto"/>
        <w:jc w:val="both"/>
        <w:rPr>
          <w:rFonts w:ascii="Times New Roman" w:hAnsi="Times New Roman" w:cs="Times New Roman"/>
          <w:noProof/>
          <w:lang w:val="tr-TR"/>
        </w:rPr>
      </w:pPr>
      <w:r w:rsidRPr="009C6D6C">
        <w:rPr>
          <w:rFonts w:ascii="Times New Roman" w:hAnsi="Times New Roman" w:cs="Times New Roman"/>
          <w:noProof/>
          <w:lang w:val="tr-TR"/>
        </w:rPr>
        <w:t>Tüm ölçeğin iç tutarlık katsayısı Cronbach α=.86 olarak hesaplanmıştır. Ayrıca alt boyutların Cronbach Alpha değerleri αmax=.91 (</w:t>
      </w:r>
      <w:r w:rsidRPr="009C6D6C">
        <w:rPr>
          <w:rFonts w:asciiTheme="majorBidi" w:hAnsiTheme="majorBidi" w:cstheme="majorBidi"/>
          <w:noProof/>
          <w:lang w:val="tr-TR"/>
        </w:rPr>
        <w:t>Tahammülsüzlüğe Karşı Sabır</w:t>
      </w:r>
      <w:r w:rsidRPr="009C6D6C">
        <w:rPr>
          <w:rFonts w:ascii="Times New Roman" w:hAnsi="Times New Roman" w:cs="Times New Roman"/>
          <w:noProof/>
          <w:lang w:val="tr-TR"/>
        </w:rPr>
        <w:t>) ile αmin=.70 (</w:t>
      </w:r>
      <w:r w:rsidRPr="009C6D6C">
        <w:rPr>
          <w:rFonts w:asciiTheme="majorBidi" w:hAnsiTheme="majorBidi" w:cstheme="majorBidi"/>
          <w:noProof/>
          <w:lang w:val="tr-TR"/>
        </w:rPr>
        <w:t>Aceleciliğe Karşı Sabır</w:t>
      </w:r>
      <w:r w:rsidRPr="009C6D6C">
        <w:rPr>
          <w:rFonts w:ascii="Times New Roman" w:hAnsi="Times New Roman" w:cs="Times New Roman"/>
          <w:noProof/>
          <w:lang w:val="tr-TR"/>
        </w:rPr>
        <w:t>) arasında değişmektedir. Bu değerler ölçeğin iç tutarlılığının yüksek olduğunu ortaya koymaktadır.</w:t>
      </w:r>
    </w:p>
    <w:p w:rsidR="00C51530" w:rsidRPr="009C6D6C" w:rsidRDefault="00C51530" w:rsidP="00143223">
      <w:pPr>
        <w:autoSpaceDE w:val="0"/>
        <w:autoSpaceDN w:val="0"/>
        <w:adjustRightInd w:val="0"/>
        <w:spacing w:before="120" w:after="120" w:line="240" w:lineRule="auto"/>
        <w:ind w:firstLine="709"/>
        <w:jc w:val="both"/>
        <w:rPr>
          <w:rFonts w:ascii="Times New Roman" w:hAnsi="Times New Roman" w:cs="Times New Roman"/>
          <w:noProof/>
          <w:lang w:val="tr-TR"/>
        </w:rPr>
      </w:pPr>
    </w:p>
    <w:p w:rsidR="00C51530" w:rsidRPr="009C6D6C" w:rsidRDefault="00C51530" w:rsidP="00143223">
      <w:pPr>
        <w:autoSpaceDE w:val="0"/>
        <w:autoSpaceDN w:val="0"/>
        <w:adjustRightInd w:val="0"/>
        <w:spacing w:before="120" w:after="120" w:line="240" w:lineRule="auto"/>
        <w:jc w:val="both"/>
        <w:rPr>
          <w:rFonts w:ascii="Times New Roman" w:hAnsi="Times New Roman" w:cs="Times New Roman"/>
          <w:b/>
          <w:bCs/>
          <w:i/>
          <w:iCs/>
          <w:noProof/>
          <w:lang w:val="tr-TR"/>
        </w:rPr>
      </w:pPr>
      <w:r w:rsidRPr="009C6D6C">
        <w:rPr>
          <w:rFonts w:ascii="Times New Roman" w:hAnsi="Times New Roman" w:cs="Times New Roman"/>
          <w:b/>
          <w:bCs/>
          <w:i/>
          <w:iCs/>
          <w:noProof/>
          <w:lang w:val="tr-TR"/>
        </w:rPr>
        <w:t>Test-Tekrar Test Güvenirliği</w:t>
      </w:r>
    </w:p>
    <w:p w:rsidR="000B1998" w:rsidRPr="009C6D6C" w:rsidRDefault="000B1998" w:rsidP="00143223">
      <w:pPr>
        <w:pStyle w:val="a4"/>
        <w:autoSpaceDE w:val="0"/>
        <w:autoSpaceDN w:val="0"/>
        <w:adjustRightInd w:val="0"/>
        <w:spacing w:before="120" w:after="120" w:line="240" w:lineRule="auto"/>
        <w:ind w:left="1068"/>
        <w:jc w:val="both"/>
        <w:rPr>
          <w:rFonts w:ascii="Times New Roman" w:hAnsi="Times New Roman" w:cs="Times New Roman"/>
          <w:b/>
          <w:bCs/>
          <w:noProof/>
          <w:lang w:val="tr-TR"/>
        </w:rPr>
      </w:pPr>
    </w:p>
    <w:p w:rsidR="00C51530" w:rsidRPr="009C6D6C" w:rsidRDefault="00685BA1" w:rsidP="00143223">
      <w:pPr>
        <w:autoSpaceDE w:val="0"/>
        <w:autoSpaceDN w:val="0"/>
        <w:adjustRightInd w:val="0"/>
        <w:spacing w:before="120" w:after="120" w:line="240" w:lineRule="auto"/>
        <w:jc w:val="both"/>
        <w:rPr>
          <w:rFonts w:ascii="Times New Roman" w:hAnsi="Times New Roman" w:cs="Times New Roman"/>
          <w:noProof/>
          <w:lang w:val="tr-TR"/>
        </w:rPr>
      </w:pPr>
      <w:r w:rsidRPr="009C6D6C">
        <w:rPr>
          <w:rFonts w:ascii="Times New Roman" w:hAnsi="Times New Roman" w:cs="Times New Roman"/>
          <w:noProof/>
          <w:lang w:val="tr-TR"/>
        </w:rPr>
        <w:t>Test-Tekrar Test güvenirliğini sağlamak üzere Kırgızistan-Türkiye Manas Üniversitesinin Meslek Yüksek Okulu Pazarlama ve Muhasebe Bölümü öğrencilerine üç hafta ara ile iki defa uygulanmıştır.</w:t>
      </w:r>
      <w:r w:rsidR="002C335D" w:rsidRPr="009C6D6C">
        <w:rPr>
          <w:rFonts w:ascii="Times New Roman" w:hAnsi="Times New Roman" w:cs="Times New Roman"/>
          <w:noProof/>
          <w:lang w:val="tr-TR"/>
        </w:rPr>
        <w:t xml:space="preserve"> İlk uygulamada, daha sonra aynı kişilere tekrar uygulayabilmek adına öğrencilerin kişisel bilgileri alınmıştır. Ulaşılan kişisel bilgilere göre bu öğrenciler tekrar belirlenmiş ve uygulama yapılmıştır.</w:t>
      </w:r>
      <w:r w:rsidR="004C3890" w:rsidRPr="009C6D6C">
        <w:rPr>
          <w:rFonts w:ascii="Times New Roman" w:hAnsi="Times New Roman" w:cs="Times New Roman"/>
          <w:noProof/>
          <w:lang w:val="tr-TR"/>
        </w:rPr>
        <w:t xml:space="preserve"> Uygulamada ortaya çıkan k</w:t>
      </w:r>
      <w:r w:rsidRPr="009C6D6C">
        <w:rPr>
          <w:rFonts w:ascii="Times New Roman" w:hAnsi="Times New Roman" w:cs="Times New Roman"/>
          <w:noProof/>
          <w:lang w:val="tr-TR"/>
        </w:rPr>
        <w:t>orelasyon sonuçları aşağıda sunulmuştur:</w:t>
      </w:r>
    </w:p>
    <w:p w:rsidR="00993743" w:rsidRPr="009C6D6C" w:rsidRDefault="00993743" w:rsidP="00AA0EB7">
      <w:pPr>
        <w:autoSpaceDE w:val="0"/>
        <w:autoSpaceDN w:val="0"/>
        <w:adjustRightInd w:val="0"/>
        <w:spacing w:after="0" w:line="240" w:lineRule="auto"/>
        <w:ind w:firstLine="709"/>
        <w:jc w:val="both"/>
        <w:rPr>
          <w:rFonts w:ascii="Times New Roman" w:hAnsi="Times New Roman" w:cs="Times New Roman"/>
          <w:noProof/>
          <w:lang w:val="tr-TR"/>
        </w:rPr>
      </w:pPr>
    </w:p>
    <w:p w:rsidR="00993743" w:rsidRPr="009C6D6C" w:rsidRDefault="00993743" w:rsidP="000B1998">
      <w:pPr>
        <w:autoSpaceDE w:val="0"/>
        <w:autoSpaceDN w:val="0"/>
        <w:adjustRightInd w:val="0"/>
        <w:spacing w:after="0" w:line="240" w:lineRule="auto"/>
        <w:ind w:firstLine="709"/>
        <w:jc w:val="center"/>
        <w:rPr>
          <w:rFonts w:ascii="Times New Roman" w:hAnsi="Times New Roman" w:cs="Times New Roman"/>
          <w:b/>
          <w:bCs/>
          <w:noProof/>
          <w:lang w:val="tr-TR"/>
        </w:rPr>
      </w:pPr>
      <w:r w:rsidRPr="009C6D6C">
        <w:rPr>
          <w:rFonts w:ascii="Times New Roman" w:hAnsi="Times New Roman" w:cs="Times New Roman"/>
          <w:b/>
          <w:bCs/>
          <w:noProof/>
          <w:lang w:val="tr-TR"/>
        </w:rPr>
        <w:lastRenderedPageBreak/>
        <w:t xml:space="preserve">Tablo </w:t>
      </w:r>
      <w:r w:rsidR="004E0DEE" w:rsidRPr="009C6D6C">
        <w:rPr>
          <w:rFonts w:ascii="Times New Roman" w:hAnsi="Times New Roman" w:cs="Times New Roman"/>
          <w:b/>
          <w:bCs/>
          <w:noProof/>
          <w:lang w:val="tr-TR"/>
        </w:rPr>
        <w:t>5</w:t>
      </w:r>
      <w:r w:rsidRPr="009C6D6C">
        <w:rPr>
          <w:rFonts w:ascii="Times New Roman" w:hAnsi="Times New Roman" w:cs="Times New Roman"/>
          <w:b/>
          <w:bCs/>
          <w:noProof/>
          <w:lang w:val="tr-TR"/>
        </w:rPr>
        <w:t>. Üniversite Öğrencileri Sabır Ölçeği’nin Test-Tekrar Test Sonucunda İki Uygulama Arasındaki İlişkiye Ait Pearson Korelasyon Testi Sonuçları</w:t>
      </w:r>
    </w:p>
    <w:p w:rsidR="000B1998" w:rsidRPr="009C6D6C" w:rsidRDefault="000B1998" w:rsidP="00AA0EB7">
      <w:pPr>
        <w:autoSpaceDE w:val="0"/>
        <w:autoSpaceDN w:val="0"/>
        <w:adjustRightInd w:val="0"/>
        <w:spacing w:after="0" w:line="240" w:lineRule="auto"/>
        <w:ind w:firstLine="709"/>
        <w:jc w:val="both"/>
        <w:rPr>
          <w:rFonts w:ascii="Times New Roman" w:hAnsi="Times New Roman" w:cs="Times New Roman"/>
          <w:noProof/>
          <w:lang w:val="tr-TR"/>
        </w:rPr>
      </w:pPr>
    </w:p>
    <w:tbl>
      <w:tblPr>
        <w:tblStyle w:val="2"/>
        <w:tblW w:w="0" w:type="auto"/>
        <w:tblLook w:val="04A0" w:firstRow="1" w:lastRow="0" w:firstColumn="1" w:lastColumn="0" w:noHBand="0" w:noVBand="1"/>
      </w:tblPr>
      <w:tblGrid>
        <w:gridCol w:w="2397"/>
        <w:gridCol w:w="2186"/>
        <w:gridCol w:w="2398"/>
        <w:gridCol w:w="2364"/>
      </w:tblGrid>
      <w:tr w:rsidR="00C51530" w:rsidRPr="009C6D6C" w:rsidTr="00993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rsidR="00C51530" w:rsidRPr="009C6D6C" w:rsidRDefault="00C51530" w:rsidP="00AA0EB7">
            <w:pPr>
              <w:autoSpaceDE w:val="0"/>
              <w:autoSpaceDN w:val="0"/>
              <w:adjustRightInd w:val="0"/>
              <w:jc w:val="both"/>
              <w:rPr>
                <w:rFonts w:asciiTheme="majorBidi" w:hAnsiTheme="majorBidi" w:cstheme="majorBidi"/>
                <w:noProof/>
                <w:sz w:val="18"/>
                <w:szCs w:val="18"/>
                <w:lang w:val="tr-TR"/>
              </w:rPr>
            </w:pPr>
          </w:p>
        </w:tc>
        <w:tc>
          <w:tcPr>
            <w:tcW w:w="2186" w:type="dxa"/>
          </w:tcPr>
          <w:p w:rsidR="00C51530" w:rsidRPr="009C6D6C" w:rsidRDefault="00C51530" w:rsidP="00AA0EB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2398" w:type="dxa"/>
          </w:tcPr>
          <w:p w:rsidR="00C51530" w:rsidRPr="009C6D6C" w:rsidRDefault="00C51530" w:rsidP="00AA0EB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Birinci Test</w:t>
            </w:r>
          </w:p>
        </w:tc>
        <w:tc>
          <w:tcPr>
            <w:tcW w:w="2364" w:type="dxa"/>
          </w:tcPr>
          <w:p w:rsidR="00C51530" w:rsidRPr="009C6D6C" w:rsidRDefault="00C51530" w:rsidP="00AA0EB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İkinci Test</w:t>
            </w:r>
          </w:p>
        </w:tc>
      </w:tr>
      <w:tr w:rsidR="00993743" w:rsidRPr="009C6D6C" w:rsidTr="00993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restart"/>
          </w:tcPr>
          <w:p w:rsidR="00993743" w:rsidRPr="009C6D6C" w:rsidRDefault="00993743" w:rsidP="00AA0EB7">
            <w:pPr>
              <w:autoSpaceDE w:val="0"/>
              <w:autoSpaceDN w:val="0"/>
              <w:adjustRightInd w:val="0"/>
              <w:jc w:val="both"/>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Birinci Test</w:t>
            </w:r>
          </w:p>
        </w:tc>
        <w:tc>
          <w:tcPr>
            <w:tcW w:w="2186" w:type="dxa"/>
          </w:tcPr>
          <w:p w:rsidR="00993743" w:rsidRPr="009C6D6C" w:rsidRDefault="00993743" w:rsidP="00AA0E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r</w:t>
            </w:r>
          </w:p>
        </w:tc>
        <w:tc>
          <w:tcPr>
            <w:tcW w:w="2398" w:type="dxa"/>
          </w:tcPr>
          <w:p w:rsidR="00993743" w:rsidRPr="009C6D6C" w:rsidRDefault="00993743" w:rsidP="00AA0E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2364" w:type="dxa"/>
          </w:tcPr>
          <w:p w:rsidR="00993743" w:rsidRPr="009C6D6C" w:rsidRDefault="00993743" w:rsidP="00AA0E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color w:val="010205"/>
                <w:sz w:val="18"/>
                <w:szCs w:val="18"/>
                <w:lang w:val="tr-TR"/>
              </w:rPr>
              <w:t>0,851</w:t>
            </w:r>
            <w:r w:rsidRPr="009C6D6C">
              <w:rPr>
                <w:rFonts w:asciiTheme="majorBidi" w:hAnsiTheme="majorBidi" w:cstheme="majorBidi"/>
                <w:noProof/>
                <w:color w:val="010205"/>
                <w:sz w:val="18"/>
                <w:szCs w:val="18"/>
                <w:vertAlign w:val="superscript"/>
                <w:lang w:val="tr-TR"/>
              </w:rPr>
              <w:t>**</w:t>
            </w:r>
          </w:p>
        </w:tc>
      </w:tr>
      <w:tr w:rsidR="00993743" w:rsidRPr="009C6D6C" w:rsidTr="00993743">
        <w:tc>
          <w:tcPr>
            <w:cnfStyle w:val="001000000000" w:firstRow="0" w:lastRow="0" w:firstColumn="1" w:lastColumn="0" w:oddVBand="0" w:evenVBand="0" w:oddHBand="0" w:evenHBand="0" w:firstRowFirstColumn="0" w:firstRowLastColumn="0" w:lastRowFirstColumn="0" w:lastRowLastColumn="0"/>
            <w:tcW w:w="2397" w:type="dxa"/>
            <w:vMerge/>
          </w:tcPr>
          <w:p w:rsidR="00993743" w:rsidRPr="009C6D6C" w:rsidRDefault="00993743" w:rsidP="00AA0EB7">
            <w:pPr>
              <w:autoSpaceDE w:val="0"/>
              <w:autoSpaceDN w:val="0"/>
              <w:adjustRightInd w:val="0"/>
              <w:jc w:val="both"/>
              <w:rPr>
                <w:rFonts w:asciiTheme="majorBidi" w:hAnsiTheme="majorBidi" w:cstheme="majorBidi"/>
                <w:noProof/>
                <w:sz w:val="18"/>
                <w:szCs w:val="18"/>
                <w:lang w:val="tr-TR"/>
              </w:rPr>
            </w:pPr>
          </w:p>
        </w:tc>
        <w:tc>
          <w:tcPr>
            <w:tcW w:w="2186" w:type="dxa"/>
          </w:tcPr>
          <w:p w:rsidR="00993743" w:rsidRPr="009C6D6C" w:rsidRDefault="00993743" w:rsidP="00AA0E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p</w:t>
            </w:r>
          </w:p>
        </w:tc>
        <w:tc>
          <w:tcPr>
            <w:tcW w:w="2398" w:type="dxa"/>
          </w:tcPr>
          <w:p w:rsidR="00993743" w:rsidRPr="009C6D6C" w:rsidRDefault="00993743" w:rsidP="00AA0E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c>
          <w:tcPr>
            <w:tcW w:w="2364" w:type="dxa"/>
          </w:tcPr>
          <w:p w:rsidR="00993743" w:rsidRPr="009C6D6C" w:rsidRDefault="00993743" w:rsidP="00AA0E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0,000</w:t>
            </w:r>
          </w:p>
        </w:tc>
      </w:tr>
      <w:tr w:rsidR="00993743" w:rsidRPr="009C6D6C" w:rsidTr="00993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tcPr>
          <w:p w:rsidR="00993743" w:rsidRPr="009C6D6C" w:rsidRDefault="00993743" w:rsidP="00AA0EB7">
            <w:pPr>
              <w:autoSpaceDE w:val="0"/>
              <w:autoSpaceDN w:val="0"/>
              <w:adjustRightInd w:val="0"/>
              <w:jc w:val="both"/>
              <w:rPr>
                <w:rFonts w:asciiTheme="majorBidi" w:hAnsiTheme="majorBidi" w:cstheme="majorBidi"/>
                <w:noProof/>
                <w:sz w:val="18"/>
                <w:szCs w:val="18"/>
                <w:lang w:val="tr-TR"/>
              </w:rPr>
            </w:pPr>
          </w:p>
        </w:tc>
        <w:tc>
          <w:tcPr>
            <w:tcW w:w="2186" w:type="dxa"/>
          </w:tcPr>
          <w:p w:rsidR="00993743" w:rsidRPr="009C6D6C" w:rsidRDefault="00993743" w:rsidP="00AA0E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n</w:t>
            </w:r>
          </w:p>
        </w:tc>
        <w:tc>
          <w:tcPr>
            <w:tcW w:w="2398" w:type="dxa"/>
          </w:tcPr>
          <w:p w:rsidR="00993743" w:rsidRPr="009C6D6C" w:rsidRDefault="00993743" w:rsidP="00AA0E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c>
          <w:tcPr>
            <w:tcW w:w="2364" w:type="dxa"/>
          </w:tcPr>
          <w:p w:rsidR="00993743" w:rsidRPr="009C6D6C" w:rsidRDefault="00993743" w:rsidP="00AA0E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51</w:t>
            </w:r>
          </w:p>
        </w:tc>
      </w:tr>
      <w:tr w:rsidR="00993743" w:rsidRPr="009C6D6C" w:rsidTr="00993743">
        <w:tc>
          <w:tcPr>
            <w:cnfStyle w:val="001000000000" w:firstRow="0" w:lastRow="0" w:firstColumn="1" w:lastColumn="0" w:oddVBand="0" w:evenVBand="0" w:oddHBand="0" w:evenHBand="0" w:firstRowFirstColumn="0" w:firstRowLastColumn="0" w:lastRowFirstColumn="0" w:lastRowLastColumn="0"/>
            <w:tcW w:w="2397" w:type="dxa"/>
            <w:vMerge w:val="restart"/>
          </w:tcPr>
          <w:p w:rsidR="00993743" w:rsidRPr="009C6D6C" w:rsidRDefault="00993743" w:rsidP="00AA0EB7">
            <w:pPr>
              <w:autoSpaceDE w:val="0"/>
              <w:autoSpaceDN w:val="0"/>
              <w:adjustRightInd w:val="0"/>
              <w:jc w:val="both"/>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İkinci Test</w:t>
            </w:r>
          </w:p>
        </w:tc>
        <w:tc>
          <w:tcPr>
            <w:tcW w:w="2186" w:type="dxa"/>
          </w:tcPr>
          <w:p w:rsidR="00993743" w:rsidRPr="009C6D6C" w:rsidRDefault="00993743" w:rsidP="00AA0E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r</w:t>
            </w:r>
          </w:p>
        </w:tc>
        <w:tc>
          <w:tcPr>
            <w:tcW w:w="2398" w:type="dxa"/>
          </w:tcPr>
          <w:p w:rsidR="00993743" w:rsidRPr="009C6D6C" w:rsidRDefault="00993743" w:rsidP="00AA0E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color w:val="010205"/>
                <w:sz w:val="18"/>
                <w:szCs w:val="18"/>
                <w:lang w:val="tr-TR"/>
              </w:rPr>
              <w:t>0,851</w:t>
            </w:r>
            <w:r w:rsidRPr="009C6D6C">
              <w:rPr>
                <w:rFonts w:asciiTheme="majorBidi" w:hAnsiTheme="majorBidi" w:cstheme="majorBidi"/>
                <w:noProof/>
                <w:color w:val="010205"/>
                <w:sz w:val="18"/>
                <w:szCs w:val="18"/>
                <w:vertAlign w:val="superscript"/>
                <w:lang w:val="tr-TR"/>
              </w:rPr>
              <w:t>**</w:t>
            </w:r>
          </w:p>
        </w:tc>
        <w:tc>
          <w:tcPr>
            <w:tcW w:w="2364" w:type="dxa"/>
          </w:tcPr>
          <w:p w:rsidR="00993743" w:rsidRPr="009C6D6C" w:rsidRDefault="00993743" w:rsidP="00AA0E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r w:rsidR="00993743" w:rsidRPr="009C6D6C" w:rsidTr="00993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tcPr>
          <w:p w:rsidR="00993743" w:rsidRPr="009C6D6C" w:rsidRDefault="00993743" w:rsidP="00AA0EB7">
            <w:pPr>
              <w:autoSpaceDE w:val="0"/>
              <w:autoSpaceDN w:val="0"/>
              <w:adjustRightInd w:val="0"/>
              <w:jc w:val="both"/>
              <w:rPr>
                <w:rFonts w:asciiTheme="majorBidi" w:hAnsiTheme="majorBidi" w:cstheme="majorBidi"/>
                <w:noProof/>
                <w:sz w:val="18"/>
                <w:szCs w:val="18"/>
                <w:lang w:val="tr-TR"/>
              </w:rPr>
            </w:pPr>
          </w:p>
        </w:tc>
        <w:tc>
          <w:tcPr>
            <w:tcW w:w="2186" w:type="dxa"/>
          </w:tcPr>
          <w:p w:rsidR="00993743" w:rsidRPr="009C6D6C" w:rsidRDefault="00993743" w:rsidP="00AA0E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p</w:t>
            </w:r>
          </w:p>
        </w:tc>
        <w:tc>
          <w:tcPr>
            <w:tcW w:w="2398" w:type="dxa"/>
          </w:tcPr>
          <w:p w:rsidR="00993743" w:rsidRPr="009C6D6C" w:rsidRDefault="00993743" w:rsidP="00AA0E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0,000</w:t>
            </w:r>
          </w:p>
        </w:tc>
        <w:tc>
          <w:tcPr>
            <w:tcW w:w="2364" w:type="dxa"/>
          </w:tcPr>
          <w:p w:rsidR="00993743" w:rsidRPr="009C6D6C" w:rsidRDefault="00993743" w:rsidP="00AA0E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lang w:val="tr-TR"/>
              </w:rPr>
            </w:pPr>
          </w:p>
        </w:tc>
      </w:tr>
      <w:tr w:rsidR="00993743" w:rsidRPr="009C6D6C" w:rsidTr="00993743">
        <w:tc>
          <w:tcPr>
            <w:cnfStyle w:val="001000000000" w:firstRow="0" w:lastRow="0" w:firstColumn="1" w:lastColumn="0" w:oddVBand="0" w:evenVBand="0" w:oddHBand="0" w:evenHBand="0" w:firstRowFirstColumn="0" w:firstRowLastColumn="0" w:lastRowFirstColumn="0" w:lastRowLastColumn="0"/>
            <w:tcW w:w="2397" w:type="dxa"/>
            <w:vMerge/>
          </w:tcPr>
          <w:p w:rsidR="00993743" w:rsidRPr="009C6D6C" w:rsidRDefault="00993743" w:rsidP="00AA0EB7">
            <w:pPr>
              <w:autoSpaceDE w:val="0"/>
              <w:autoSpaceDN w:val="0"/>
              <w:adjustRightInd w:val="0"/>
              <w:jc w:val="both"/>
              <w:rPr>
                <w:rFonts w:asciiTheme="majorBidi" w:hAnsiTheme="majorBidi" w:cstheme="majorBidi"/>
                <w:noProof/>
                <w:sz w:val="18"/>
                <w:szCs w:val="18"/>
                <w:lang w:val="tr-TR"/>
              </w:rPr>
            </w:pPr>
          </w:p>
        </w:tc>
        <w:tc>
          <w:tcPr>
            <w:tcW w:w="2186" w:type="dxa"/>
          </w:tcPr>
          <w:p w:rsidR="00993743" w:rsidRPr="009C6D6C" w:rsidRDefault="00993743" w:rsidP="00AA0E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n</w:t>
            </w:r>
          </w:p>
        </w:tc>
        <w:tc>
          <w:tcPr>
            <w:tcW w:w="2398" w:type="dxa"/>
          </w:tcPr>
          <w:p w:rsidR="00993743" w:rsidRPr="009C6D6C" w:rsidRDefault="00993743" w:rsidP="00AA0E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r w:rsidRPr="009C6D6C">
              <w:rPr>
                <w:rFonts w:asciiTheme="majorBidi" w:hAnsiTheme="majorBidi" w:cstheme="majorBidi"/>
                <w:noProof/>
                <w:sz w:val="18"/>
                <w:szCs w:val="18"/>
                <w:lang w:val="tr-TR"/>
              </w:rPr>
              <w:t>51</w:t>
            </w:r>
          </w:p>
        </w:tc>
        <w:tc>
          <w:tcPr>
            <w:tcW w:w="2364" w:type="dxa"/>
          </w:tcPr>
          <w:p w:rsidR="00993743" w:rsidRPr="009C6D6C" w:rsidRDefault="00993743" w:rsidP="00AA0E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val="tr-TR"/>
              </w:rPr>
            </w:pPr>
          </w:p>
        </w:tc>
      </w:tr>
    </w:tbl>
    <w:tbl>
      <w:tblPr>
        <w:tblW w:w="6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71"/>
      </w:tblGrid>
      <w:tr w:rsidR="00993743" w:rsidRPr="009C6D6C" w:rsidTr="00993743">
        <w:trPr>
          <w:cantSplit/>
        </w:trPr>
        <w:tc>
          <w:tcPr>
            <w:tcW w:w="6871" w:type="dxa"/>
            <w:tcBorders>
              <w:top w:val="nil"/>
              <w:left w:val="nil"/>
              <w:bottom w:val="nil"/>
              <w:right w:val="nil"/>
            </w:tcBorders>
            <w:shd w:val="clear" w:color="auto" w:fill="FFFFFF"/>
          </w:tcPr>
          <w:p w:rsidR="00993743" w:rsidRPr="009C6D6C" w:rsidRDefault="00993743" w:rsidP="00AA0EB7">
            <w:pPr>
              <w:autoSpaceDE w:val="0"/>
              <w:autoSpaceDN w:val="0"/>
              <w:adjustRightInd w:val="0"/>
              <w:spacing w:after="0" w:line="240" w:lineRule="auto"/>
              <w:ind w:left="60" w:right="60"/>
              <w:rPr>
                <w:rFonts w:asciiTheme="majorBidi" w:hAnsiTheme="majorBidi" w:cstheme="majorBidi"/>
                <w:noProof/>
                <w:color w:val="010205"/>
                <w:lang w:val="tr-TR"/>
              </w:rPr>
            </w:pPr>
            <w:r w:rsidRPr="009C6D6C">
              <w:rPr>
                <w:rFonts w:asciiTheme="majorBidi" w:hAnsiTheme="majorBidi" w:cstheme="majorBidi"/>
                <w:noProof/>
                <w:color w:val="010205"/>
                <w:sz w:val="18"/>
                <w:szCs w:val="18"/>
                <w:lang w:val="tr-TR"/>
              </w:rPr>
              <w:t>Correlation is significant at the 0.01 level (2-tailed).</w:t>
            </w:r>
            <w:r w:rsidRPr="009C6D6C">
              <w:rPr>
                <w:rFonts w:asciiTheme="majorBidi" w:hAnsiTheme="majorBidi" w:cstheme="majorBidi"/>
                <w:noProof/>
                <w:color w:val="010205"/>
                <w:sz w:val="18"/>
                <w:szCs w:val="18"/>
                <w:vertAlign w:val="subscript"/>
                <w:lang w:val="tr-TR"/>
              </w:rPr>
              <w:t>**</w:t>
            </w:r>
          </w:p>
        </w:tc>
      </w:tr>
    </w:tbl>
    <w:p w:rsidR="00685BA1" w:rsidRPr="009C6D6C" w:rsidRDefault="00685BA1" w:rsidP="00AA0EB7">
      <w:pPr>
        <w:autoSpaceDE w:val="0"/>
        <w:autoSpaceDN w:val="0"/>
        <w:adjustRightInd w:val="0"/>
        <w:spacing w:after="0" w:line="240" w:lineRule="auto"/>
        <w:ind w:firstLine="709"/>
        <w:jc w:val="both"/>
        <w:rPr>
          <w:rFonts w:ascii="Times New Roman" w:hAnsi="Times New Roman" w:cs="Times New Roman"/>
          <w:noProof/>
          <w:lang w:val="tr-TR"/>
        </w:rPr>
      </w:pPr>
    </w:p>
    <w:p w:rsidR="00993743" w:rsidRPr="009C6D6C" w:rsidRDefault="00993743" w:rsidP="00143223">
      <w:pPr>
        <w:autoSpaceDE w:val="0"/>
        <w:autoSpaceDN w:val="0"/>
        <w:adjustRightInd w:val="0"/>
        <w:spacing w:before="120" w:after="120" w:line="240" w:lineRule="auto"/>
        <w:jc w:val="both"/>
        <w:rPr>
          <w:rFonts w:ascii="Times New Roman" w:hAnsi="Times New Roman" w:cs="Times New Roman"/>
          <w:noProof/>
          <w:lang w:val="tr-TR"/>
        </w:rPr>
      </w:pPr>
      <w:r w:rsidRPr="009C6D6C">
        <w:rPr>
          <w:rFonts w:ascii="Times New Roman" w:hAnsi="Times New Roman" w:cs="Times New Roman"/>
          <w:noProof/>
          <w:lang w:val="tr-TR"/>
        </w:rPr>
        <w:t xml:space="preserve">Yukarıdaki tabloda da görüleceği üzere </w:t>
      </w:r>
      <w:r w:rsidR="00685BA1" w:rsidRPr="009C6D6C">
        <w:rPr>
          <w:rFonts w:ascii="Times New Roman" w:hAnsi="Times New Roman" w:cs="Times New Roman"/>
          <w:noProof/>
          <w:lang w:val="tr-TR"/>
        </w:rPr>
        <w:t>iki farklı zamanda yapılan testin sonuçları arasında yüksek derecede anlamlı bir ilişki (r=</w:t>
      </w:r>
      <w:r w:rsidR="00685BA1" w:rsidRPr="009C6D6C">
        <w:rPr>
          <w:rFonts w:ascii="Times New Roman" w:hAnsi="Times New Roman" w:cs="Times New Roman"/>
          <w:noProof/>
          <w:lang w:val="tr-TR" w:bidi="ar-QA"/>
        </w:rPr>
        <w:t>0,851</w:t>
      </w:r>
      <w:r w:rsidR="00685BA1" w:rsidRPr="009C6D6C">
        <w:rPr>
          <w:rFonts w:ascii="Times New Roman" w:hAnsi="Times New Roman" w:cs="Times New Roman"/>
          <w:noProof/>
          <w:lang w:val="tr-TR"/>
        </w:rPr>
        <w:t>) bulunmuştur. Aradaki bu ilişkinin düzeyinin yüksek derecede anlamlı olması ölçeğin Test-Tekrar Test güvenirliğinin sağlandığını göstermektedir.</w:t>
      </w:r>
    </w:p>
    <w:p w:rsidR="002C335D" w:rsidRPr="009C6D6C" w:rsidRDefault="002C335D" w:rsidP="00143223">
      <w:pPr>
        <w:autoSpaceDE w:val="0"/>
        <w:autoSpaceDN w:val="0"/>
        <w:adjustRightInd w:val="0"/>
        <w:spacing w:before="120" w:after="120" w:line="240" w:lineRule="auto"/>
        <w:ind w:firstLine="709"/>
        <w:jc w:val="both"/>
        <w:rPr>
          <w:rFonts w:ascii="Times New Roman" w:hAnsi="Times New Roman" w:cs="Times New Roman"/>
          <w:noProof/>
          <w:lang w:val="tr-TR"/>
        </w:rPr>
      </w:pPr>
    </w:p>
    <w:p w:rsidR="00A2065D" w:rsidRPr="009C6D6C" w:rsidRDefault="00670434" w:rsidP="00143223">
      <w:pPr>
        <w:autoSpaceDE w:val="0"/>
        <w:autoSpaceDN w:val="0"/>
        <w:adjustRightInd w:val="0"/>
        <w:spacing w:before="120" w:after="120" w:line="240" w:lineRule="auto"/>
        <w:ind w:firstLine="709"/>
        <w:jc w:val="center"/>
        <w:rPr>
          <w:rFonts w:ascii="Times New Roman" w:hAnsi="Times New Roman" w:cs="Times New Roman"/>
          <w:b/>
          <w:bCs/>
          <w:noProof/>
          <w:lang w:val="tr-TR"/>
        </w:rPr>
      </w:pPr>
      <w:r w:rsidRPr="009C6D6C">
        <w:rPr>
          <w:rFonts w:ascii="Times New Roman" w:hAnsi="Times New Roman" w:cs="Times New Roman"/>
          <w:b/>
          <w:bCs/>
          <w:noProof/>
          <w:lang w:val="tr-TR"/>
        </w:rPr>
        <w:t>SONUÇ</w:t>
      </w:r>
    </w:p>
    <w:p w:rsidR="00670434" w:rsidRPr="009C6D6C" w:rsidRDefault="00670434" w:rsidP="00143223">
      <w:pPr>
        <w:autoSpaceDE w:val="0"/>
        <w:autoSpaceDN w:val="0"/>
        <w:adjustRightInd w:val="0"/>
        <w:spacing w:before="120" w:after="120" w:line="240" w:lineRule="auto"/>
        <w:ind w:firstLine="709"/>
        <w:jc w:val="center"/>
        <w:rPr>
          <w:rFonts w:ascii="Times New Roman" w:hAnsi="Times New Roman" w:cs="Times New Roman"/>
          <w:b/>
          <w:bCs/>
          <w:noProof/>
          <w:lang w:val="tr-TR"/>
        </w:rPr>
      </w:pPr>
    </w:p>
    <w:p w:rsidR="000E07D9" w:rsidRPr="009C6D6C" w:rsidRDefault="000E07D9" w:rsidP="00143223">
      <w:pPr>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Bu çalışmada üniversite öğrencilerinin sabır eğilimlerini ölçmek amacıyla geliştirilen 58 maddelik ölçme aracı öncelikle kapsam geçerliği için 4 uzmanın görüşüne sunulmuştur. Daha sonra uzmanlardan gelen formlar sonucunda Davis Modeli ile çıkarılması gereken maddeler saptanmış ve ölçekten çıkartılmıştır. Geriye kalan 36 maddelik ölçme aracı 47 kişilik bir örneklem grubuna uygulanarak maddelerin anlaşılabilirliği test edilmiş ve öğrenciler tarafından maddelerin tamamının anlaşılabildiği görülmüştür. Sonrasında ölçme aracı 375 kişilik üniversite öğrencilerinden oluşan gruba uygulanmış ve faktör analizi ile ölçme aracının faktör yapısına bakılmıştır. Bu işlemler sonucunda ölçekte 21 madde kalmış ve üç boyut oluşmuştur. Ortaya çıkan ölçeğin genel ve alt boyutlara ait iç tutarlık kat sayısı</w:t>
      </w:r>
      <w:r w:rsidR="002C335D" w:rsidRPr="009C6D6C">
        <w:rPr>
          <w:rFonts w:asciiTheme="majorBidi" w:hAnsiTheme="majorBidi" w:cstheme="majorBidi"/>
          <w:noProof/>
          <w:lang w:val="tr-TR"/>
        </w:rPr>
        <w:t xml:space="preserve"> (Cronbach α) hesaplanmıştır.</w:t>
      </w:r>
    </w:p>
    <w:p w:rsidR="000E07D9" w:rsidRPr="009C6D6C" w:rsidRDefault="000E07D9" w:rsidP="00143223">
      <w:pPr>
        <w:autoSpaceDE w:val="0"/>
        <w:autoSpaceDN w:val="0"/>
        <w:adjustRightInd w:val="0"/>
        <w:spacing w:before="120" w:after="120" w:line="240" w:lineRule="auto"/>
        <w:jc w:val="both"/>
        <w:rPr>
          <w:rFonts w:asciiTheme="majorBidi" w:hAnsiTheme="majorBidi" w:cstheme="majorBidi"/>
          <w:noProof/>
          <w:lang w:val="tr-TR"/>
        </w:rPr>
      </w:pPr>
      <w:r w:rsidRPr="009C6D6C">
        <w:rPr>
          <w:rFonts w:asciiTheme="majorBidi" w:hAnsiTheme="majorBidi" w:cstheme="majorBidi"/>
          <w:noProof/>
          <w:lang w:val="tr-TR"/>
        </w:rPr>
        <w:t xml:space="preserve">Güvenirliğini hesaplamak üzere de test-tekrar test yöntemi </w:t>
      </w:r>
      <w:r w:rsidR="002C335D" w:rsidRPr="009C6D6C">
        <w:rPr>
          <w:rFonts w:asciiTheme="majorBidi" w:hAnsiTheme="majorBidi" w:cstheme="majorBidi"/>
          <w:noProof/>
          <w:lang w:val="tr-TR"/>
        </w:rPr>
        <w:t>uygulanmıştır</w:t>
      </w:r>
      <w:r w:rsidRPr="009C6D6C">
        <w:rPr>
          <w:rFonts w:asciiTheme="majorBidi" w:hAnsiTheme="majorBidi" w:cstheme="majorBidi"/>
          <w:noProof/>
          <w:lang w:val="tr-TR"/>
        </w:rPr>
        <w:t>. Bu analizlere bağlı olarak varılan sonuçlar aşağıda verilmiştir:</w:t>
      </w:r>
    </w:p>
    <w:p w:rsidR="000E07D9" w:rsidRPr="009C6D6C" w:rsidRDefault="000E07D9" w:rsidP="00143223">
      <w:pPr>
        <w:autoSpaceDE w:val="0"/>
        <w:autoSpaceDN w:val="0"/>
        <w:adjustRightInd w:val="0"/>
        <w:spacing w:before="120" w:after="120" w:line="240" w:lineRule="auto"/>
        <w:ind w:firstLine="709"/>
        <w:jc w:val="both"/>
        <w:rPr>
          <w:rFonts w:asciiTheme="majorBidi" w:hAnsiTheme="majorBidi" w:cstheme="majorBidi"/>
          <w:noProof/>
          <w:lang w:val="tr-TR"/>
        </w:rPr>
      </w:pPr>
    </w:p>
    <w:p w:rsidR="000E07D9" w:rsidRPr="009C6D6C" w:rsidRDefault="000E07D9" w:rsidP="00143223">
      <w:pPr>
        <w:pStyle w:val="a4"/>
        <w:numPr>
          <w:ilvl w:val="0"/>
          <w:numId w:val="5"/>
        </w:numPr>
        <w:autoSpaceDE w:val="0"/>
        <w:autoSpaceDN w:val="0"/>
        <w:adjustRightInd w:val="0"/>
        <w:spacing w:before="120" w:after="120" w:line="240" w:lineRule="auto"/>
        <w:ind w:firstLine="709"/>
        <w:jc w:val="both"/>
        <w:rPr>
          <w:rFonts w:asciiTheme="majorBidi" w:hAnsiTheme="majorBidi" w:cstheme="majorBidi"/>
          <w:noProof/>
          <w:lang w:val="tr-TR"/>
        </w:rPr>
      </w:pPr>
      <w:r w:rsidRPr="009C6D6C">
        <w:rPr>
          <w:rFonts w:asciiTheme="majorBidi" w:hAnsiTheme="majorBidi" w:cstheme="majorBidi"/>
          <w:noProof/>
          <w:lang w:val="tr-TR"/>
        </w:rPr>
        <w:t xml:space="preserve">Geliştirilen </w:t>
      </w:r>
      <w:r w:rsidR="002C335D" w:rsidRPr="009C6D6C">
        <w:rPr>
          <w:rFonts w:asciiTheme="majorBidi" w:hAnsiTheme="majorBidi" w:cstheme="majorBidi"/>
          <w:noProof/>
          <w:lang w:val="tr-TR"/>
        </w:rPr>
        <w:t>Üniversite Öğrencileri Sabır Ö</w:t>
      </w:r>
      <w:r w:rsidRPr="009C6D6C">
        <w:rPr>
          <w:rFonts w:asciiTheme="majorBidi" w:hAnsiTheme="majorBidi" w:cstheme="majorBidi"/>
          <w:noProof/>
          <w:lang w:val="tr-TR"/>
        </w:rPr>
        <w:t>lçeği</w:t>
      </w:r>
      <w:r w:rsidR="002C335D" w:rsidRPr="009C6D6C">
        <w:rPr>
          <w:rFonts w:asciiTheme="majorBidi" w:hAnsiTheme="majorBidi" w:cstheme="majorBidi"/>
          <w:noProof/>
          <w:lang w:val="tr-TR"/>
        </w:rPr>
        <w:t>’</w:t>
      </w:r>
      <w:r w:rsidRPr="009C6D6C">
        <w:rPr>
          <w:rFonts w:asciiTheme="majorBidi" w:hAnsiTheme="majorBidi" w:cstheme="majorBidi"/>
          <w:noProof/>
          <w:lang w:val="tr-TR"/>
        </w:rPr>
        <w:t xml:space="preserve">ndeki eigen </w:t>
      </w:r>
      <w:r w:rsidR="002C335D" w:rsidRPr="009C6D6C">
        <w:rPr>
          <w:rFonts w:asciiTheme="majorBidi" w:hAnsiTheme="majorBidi" w:cstheme="majorBidi"/>
          <w:noProof/>
          <w:lang w:val="tr-TR"/>
        </w:rPr>
        <w:t>değeri ölçütüne göre onemli üç faktörü</w:t>
      </w:r>
      <w:r w:rsidRPr="009C6D6C">
        <w:rPr>
          <w:rFonts w:asciiTheme="majorBidi" w:hAnsiTheme="majorBidi" w:cstheme="majorBidi"/>
          <w:noProof/>
          <w:lang w:val="tr-TR"/>
        </w:rPr>
        <w:t>n a</w:t>
      </w:r>
      <w:r w:rsidR="002C335D" w:rsidRPr="009C6D6C">
        <w:rPr>
          <w:rFonts w:asciiTheme="majorBidi" w:hAnsiTheme="majorBidi" w:cstheme="majorBidi"/>
          <w:noProof/>
          <w:lang w:val="tr-TR"/>
        </w:rPr>
        <w:t>çıkladığı toplam varyans %60.5</w:t>
      </w:r>
      <w:r w:rsidRPr="009C6D6C">
        <w:rPr>
          <w:rFonts w:asciiTheme="majorBidi" w:hAnsiTheme="majorBidi" w:cstheme="majorBidi"/>
          <w:noProof/>
          <w:lang w:val="tr-TR"/>
        </w:rPr>
        <w:t>’dir. Varimax rotasyon sonucunda</w:t>
      </w:r>
      <w:r w:rsidR="002C335D" w:rsidRPr="009C6D6C">
        <w:rPr>
          <w:rFonts w:asciiTheme="majorBidi" w:hAnsiTheme="majorBidi" w:cstheme="majorBidi"/>
          <w:noProof/>
          <w:lang w:val="tr-TR"/>
        </w:rPr>
        <w:t xml:space="preserve"> maddelerin faktör yükleri 0.558 - 0.857</w:t>
      </w:r>
      <w:r w:rsidRPr="009C6D6C">
        <w:rPr>
          <w:rFonts w:asciiTheme="majorBidi" w:hAnsiTheme="majorBidi" w:cstheme="majorBidi"/>
          <w:noProof/>
          <w:lang w:val="tr-TR"/>
        </w:rPr>
        <w:t xml:space="preserve"> arasında değişmektedir.</w:t>
      </w:r>
    </w:p>
    <w:p w:rsidR="000E07D9" w:rsidRPr="009C6D6C" w:rsidRDefault="000E07D9" w:rsidP="00143223">
      <w:pPr>
        <w:pStyle w:val="a4"/>
        <w:numPr>
          <w:ilvl w:val="0"/>
          <w:numId w:val="5"/>
        </w:numPr>
        <w:autoSpaceDE w:val="0"/>
        <w:autoSpaceDN w:val="0"/>
        <w:adjustRightInd w:val="0"/>
        <w:spacing w:before="120" w:after="120" w:line="240" w:lineRule="auto"/>
        <w:ind w:firstLine="709"/>
        <w:jc w:val="both"/>
        <w:rPr>
          <w:rFonts w:asciiTheme="majorBidi" w:hAnsiTheme="majorBidi" w:cstheme="majorBidi"/>
          <w:noProof/>
          <w:lang w:val="tr-TR"/>
        </w:rPr>
      </w:pPr>
      <w:r w:rsidRPr="009C6D6C">
        <w:rPr>
          <w:rFonts w:asciiTheme="majorBidi" w:hAnsiTheme="majorBidi" w:cstheme="majorBidi"/>
          <w:noProof/>
          <w:lang w:val="tr-TR"/>
        </w:rPr>
        <w:t>Belirlenen faktörler sırasıyla “</w:t>
      </w:r>
      <w:r w:rsidR="002C335D" w:rsidRPr="009C6D6C">
        <w:rPr>
          <w:rFonts w:asciiTheme="majorBidi" w:hAnsiTheme="majorBidi" w:cstheme="majorBidi"/>
          <w:noProof/>
          <w:lang w:val="tr-TR"/>
        </w:rPr>
        <w:t>Tahammülsüzlüğe Karşı Sabır”, “Aceleciliğe Karşı Sabır” ve “Öfkeye Karşı Sabır</w:t>
      </w:r>
      <w:r w:rsidRPr="009C6D6C">
        <w:rPr>
          <w:rFonts w:asciiTheme="majorBidi" w:hAnsiTheme="majorBidi" w:cstheme="majorBidi"/>
          <w:noProof/>
          <w:lang w:val="tr-TR"/>
        </w:rPr>
        <w:t>” olarak adlandırılmıştır.</w:t>
      </w:r>
    </w:p>
    <w:p w:rsidR="000E07D9" w:rsidRPr="009C6D6C" w:rsidRDefault="000E07D9" w:rsidP="00143223">
      <w:pPr>
        <w:pStyle w:val="a4"/>
        <w:numPr>
          <w:ilvl w:val="0"/>
          <w:numId w:val="5"/>
        </w:numPr>
        <w:autoSpaceDE w:val="0"/>
        <w:autoSpaceDN w:val="0"/>
        <w:adjustRightInd w:val="0"/>
        <w:spacing w:before="120" w:after="120" w:line="240" w:lineRule="auto"/>
        <w:ind w:firstLine="709"/>
        <w:jc w:val="both"/>
        <w:rPr>
          <w:rFonts w:asciiTheme="majorBidi" w:hAnsiTheme="majorBidi" w:cstheme="majorBidi"/>
          <w:noProof/>
          <w:lang w:val="tr-TR"/>
        </w:rPr>
      </w:pPr>
      <w:r w:rsidRPr="009C6D6C">
        <w:rPr>
          <w:rFonts w:asciiTheme="majorBidi" w:hAnsiTheme="majorBidi" w:cstheme="majorBidi"/>
          <w:noProof/>
          <w:lang w:val="tr-TR"/>
        </w:rPr>
        <w:t>Ölç</w:t>
      </w:r>
      <w:r w:rsidR="002C335D" w:rsidRPr="009C6D6C">
        <w:rPr>
          <w:rFonts w:asciiTheme="majorBidi" w:hAnsiTheme="majorBidi" w:cstheme="majorBidi"/>
          <w:noProof/>
          <w:lang w:val="tr-TR"/>
        </w:rPr>
        <w:t>eğin tümü için cronbach α=0.86</w:t>
      </w:r>
      <w:r w:rsidRPr="009C6D6C">
        <w:rPr>
          <w:rFonts w:asciiTheme="majorBidi" w:hAnsiTheme="majorBidi" w:cstheme="majorBidi"/>
          <w:noProof/>
          <w:lang w:val="tr-TR"/>
        </w:rPr>
        <w:t xml:space="preserve"> ve her bir alt boyut icin hesaplanan cronbach α katsayılarının 0.70’in uzerinde olması ölçeğin bütün olarak ve alt boyutlarının kendi içinde tutarlı olduklarına işaret etmektedir.</w:t>
      </w:r>
    </w:p>
    <w:p w:rsidR="000E07D9" w:rsidRPr="009C6D6C" w:rsidRDefault="000E07D9" w:rsidP="00143223">
      <w:pPr>
        <w:pStyle w:val="a4"/>
        <w:numPr>
          <w:ilvl w:val="0"/>
          <w:numId w:val="5"/>
        </w:numPr>
        <w:autoSpaceDE w:val="0"/>
        <w:autoSpaceDN w:val="0"/>
        <w:adjustRightInd w:val="0"/>
        <w:spacing w:before="120" w:after="120" w:line="240" w:lineRule="auto"/>
        <w:ind w:firstLine="709"/>
        <w:jc w:val="both"/>
        <w:rPr>
          <w:rFonts w:asciiTheme="majorBidi" w:hAnsiTheme="majorBidi" w:cstheme="majorBidi"/>
          <w:noProof/>
          <w:lang w:val="tr-TR"/>
        </w:rPr>
      </w:pPr>
      <w:r w:rsidRPr="009C6D6C">
        <w:rPr>
          <w:rFonts w:asciiTheme="majorBidi" w:hAnsiTheme="majorBidi" w:cstheme="majorBidi"/>
          <w:noProof/>
          <w:lang w:val="tr-TR"/>
        </w:rPr>
        <w:t>Faktör bazında ayırt edicilik analizinde tüm gruplar icin farklılıkların istatistiksel olarak anlamlı bulunmuş (</w:t>
      </w:r>
      <w:r w:rsidRPr="009C6D6C">
        <w:rPr>
          <w:rFonts w:asciiTheme="majorBidi" w:hAnsiTheme="majorBidi" w:cstheme="majorBidi"/>
          <w:i/>
          <w:iCs/>
          <w:noProof/>
          <w:lang w:val="tr-TR"/>
        </w:rPr>
        <w:t>p&lt;.001</w:t>
      </w:r>
      <w:r w:rsidRPr="009C6D6C">
        <w:rPr>
          <w:rFonts w:asciiTheme="majorBidi" w:hAnsiTheme="majorBidi" w:cstheme="majorBidi"/>
          <w:noProof/>
          <w:lang w:val="tr-TR"/>
        </w:rPr>
        <w:t>) olması ölçeğin alt boyut ve toplam puanlarının ayırt edici olduğunu ortaya koymaktadır.</w:t>
      </w:r>
    </w:p>
    <w:p w:rsidR="000E07D9" w:rsidRPr="009C6D6C" w:rsidRDefault="000E07D9" w:rsidP="00143223">
      <w:pPr>
        <w:pStyle w:val="a4"/>
        <w:numPr>
          <w:ilvl w:val="0"/>
          <w:numId w:val="5"/>
        </w:numPr>
        <w:autoSpaceDE w:val="0"/>
        <w:autoSpaceDN w:val="0"/>
        <w:adjustRightInd w:val="0"/>
        <w:spacing w:before="120" w:after="120" w:line="240" w:lineRule="auto"/>
        <w:ind w:firstLine="709"/>
        <w:jc w:val="both"/>
        <w:rPr>
          <w:rFonts w:asciiTheme="majorBidi" w:hAnsiTheme="majorBidi" w:cstheme="majorBidi"/>
          <w:noProof/>
          <w:lang w:val="tr-TR"/>
        </w:rPr>
      </w:pPr>
      <w:r w:rsidRPr="009C6D6C">
        <w:rPr>
          <w:rFonts w:asciiTheme="majorBidi" w:hAnsiTheme="majorBidi" w:cstheme="majorBidi"/>
          <w:noProof/>
          <w:lang w:val="tr-TR"/>
        </w:rPr>
        <w:t>Faktörler arası ilişkileri belirlemek icin yapılan korelasyon analizi sonucunda tüm faktörler arasında ve tüm faktörlerle toplam puan arasında pozitif yönde anlamlı ilişki olması, ölçekteki tüm faktörlerin aynı yapı içinde olduklarını ortaya koymaktadır.</w:t>
      </w:r>
    </w:p>
    <w:p w:rsidR="00E90E5C" w:rsidRPr="009C6D6C" w:rsidRDefault="000E07D9" w:rsidP="00143223">
      <w:pPr>
        <w:pStyle w:val="a4"/>
        <w:numPr>
          <w:ilvl w:val="0"/>
          <w:numId w:val="5"/>
        </w:numPr>
        <w:autoSpaceDE w:val="0"/>
        <w:autoSpaceDN w:val="0"/>
        <w:adjustRightInd w:val="0"/>
        <w:spacing w:before="120" w:after="120" w:line="240" w:lineRule="auto"/>
        <w:ind w:firstLine="709"/>
        <w:jc w:val="both"/>
        <w:rPr>
          <w:rFonts w:asciiTheme="majorBidi" w:hAnsiTheme="majorBidi" w:cstheme="majorBidi"/>
          <w:noProof/>
          <w:lang w:val="tr-TR"/>
        </w:rPr>
      </w:pPr>
      <w:r w:rsidRPr="009C6D6C">
        <w:rPr>
          <w:rFonts w:asciiTheme="majorBidi" w:hAnsiTheme="majorBidi" w:cstheme="majorBidi"/>
          <w:noProof/>
          <w:lang w:val="tr-TR"/>
        </w:rPr>
        <w:t xml:space="preserve">Test tekrar test güvenirlik katsayıları da her bir alt boyut için </w:t>
      </w:r>
      <w:r w:rsidR="002C335D" w:rsidRPr="009C6D6C">
        <w:rPr>
          <w:rFonts w:asciiTheme="majorBidi" w:hAnsiTheme="majorBidi" w:cstheme="majorBidi"/>
          <w:i/>
          <w:iCs/>
          <w:noProof/>
          <w:lang w:val="tr-TR"/>
        </w:rPr>
        <w:t>(0.70</w:t>
      </w:r>
      <w:r w:rsidRPr="009C6D6C">
        <w:rPr>
          <w:rFonts w:asciiTheme="majorBidi" w:hAnsiTheme="majorBidi" w:cstheme="majorBidi"/>
          <w:i/>
          <w:iCs/>
          <w:noProof/>
          <w:lang w:val="tr-TR"/>
        </w:rPr>
        <w:t xml:space="preserve"> - 0.8</w:t>
      </w:r>
      <w:r w:rsidR="002C335D" w:rsidRPr="009C6D6C">
        <w:rPr>
          <w:rFonts w:asciiTheme="majorBidi" w:hAnsiTheme="majorBidi" w:cstheme="majorBidi"/>
          <w:i/>
          <w:iCs/>
          <w:noProof/>
          <w:lang w:val="tr-TR"/>
        </w:rPr>
        <w:t>7</w:t>
      </w:r>
      <w:r w:rsidRPr="009C6D6C">
        <w:rPr>
          <w:rFonts w:asciiTheme="majorBidi" w:hAnsiTheme="majorBidi" w:cstheme="majorBidi"/>
          <w:i/>
          <w:iCs/>
          <w:noProof/>
          <w:lang w:val="tr-TR"/>
        </w:rPr>
        <w:t xml:space="preserve">; p&lt;.001) </w:t>
      </w:r>
      <w:r w:rsidRPr="009C6D6C">
        <w:rPr>
          <w:rFonts w:asciiTheme="majorBidi" w:hAnsiTheme="majorBidi" w:cstheme="majorBidi"/>
          <w:noProof/>
          <w:lang w:val="tr-TR"/>
        </w:rPr>
        <w:t xml:space="preserve">manidar bulunmuştur. </w:t>
      </w:r>
    </w:p>
    <w:p w:rsidR="000E07D9" w:rsidRPr="009C6D6C" w:rsidRDefault="000E07D9" w:rsidP="00143223">
      <w:pPr>
        <w:autoSpaceDE w:val="0"/>
        <w:autoSpaceDN w:val="0"/>
        <w:adjustRightInd w:val="0"/>
        <w:spacing w:before="120" w:after="120" w:line="240" w:lineRule="auto"/>
        <w:ind w:left="720"/>
        <w:jc w:val="both"/>
        <w:rPr>
          <w:rFonts w:asciiTheme="majorBidi" w:hAnsiTheme="majorBidi" w:cstheme="majorBidi"/>
          <w:noProof/>
          <w:lang w:val="tr-TR"/>
        </w:rPr>
      </w:pPr>
      <w:r w:rsidRPr="009C6D6C">
        <w:rPr>
          <w:rFonts w:asciiTheme="majorBidi" w:hAnsiTheme="majorBidi" w:cstheme="majorBidi"/>
          <w:noProof/>
          <w:lang w:val="tr-TR"/>
        </w:rPr>
        <w:t xml:space="preserve">Yapılan tüm bu geçerlik ve güvenirlik işlemlerinin ardından ölçeğin, </w:t>
      </w:r>
      <w:r w:rsidR="00E90E5C" w:rsidRPr="009C6D6C">
        <w:rPr>
          <w:rFonts w:asciiTheme="majorBidi" w:hAnsiTheme="majorBidi" w:cstheme="majorBidi"/>
          <w:noProof/>
          <w:lang w:val="tr-TR"/>
        </w:rPr>
        <w:t>üniversite öğrencilerinin</w:t>
      </w:r>
      <w:r w:rsidRPr="009C6D6C">
        <w:rPr>
          <w:rFonts w:asciiTheme="majorBidi" w:hAnsiTheme="majorBidi" w:cstheme="majorBidi"/>
          <w:noProof/>
          <w:lang w:val="tr-TR"/>
        </w:rPr>
        <w:t xml:space="preserve"> hoşgörü eğilimlerini </w:t>
      </w:r>
      <w:r w:rsidR="00E90E5C" w:rsidRPr="009C6D6C">
        <w:rPr>
          <w:rFonts w:asciiTheme="majorBidi" w:hAnsiTheme="majorBidi" w:cstheme="majorBidi"/>
          <w:noProof/>
          <w:lang w:val="tr-TR"/>
        </w:rPr>
        <w:t>belirlemede</w:t>
      </w:r>
      <w:r w:rsidRPr="009C6D6C">
        <w:rPr>
          <w:rFonts w:asciiTheme="majorBidi" w:hAnsiTheme="majorBidi" w:cstheme="majorBidi"/>
          <w:noProof/>
          <w:lang w:val="tr-TR"/>
        </w:rPr>
        <w:t xml:space="preserve"> geçerli ve güvenilir biçimde kullanılabilecek bir ölçme aracı olduğunu ortaya koymaktadır.</w:t>
      </w:r>
    </w:p>
    <w:p w:rsidR="00696F7A" w:rsidRPr="009C6D6C" w:rsidRDefault="00696F7A" w:rsidP="00FA42E5">
      <w:pPr>
        <w:spacing w:before="120" w:after="120" w:line="240" w:lineRule="auto"/>
        <w:jc w:val="both"/>
        <w:rPr>
          <w:rFonts w:asciiTheme="majorBidi" w:hAnsiTheme="majorBidi" w:cstheme="majorBidi"/>
          <w:noProof/>
          <w:lang w:val="tr-TR"/>
        </w:rPr>
      </w:pPr>
    </w:p>
    <w:sectPr w:rsidR="00696F7A" w:rsidRPr="009C6D6C">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FCB" w:rsidRDefault="00104FCB" w:rsidP="00E64DC2">
      <w:pPr>
        <w:spacing w:after="0" w:line="240" w:lineRule="auto"/>
      </w:pPr>
      <w:r>
        <w:separator/>
      </w:r>
    </w:p>
  </w:endnote>
  <w:endnote w:type="continuationSeparator" w:id="0">
    <w:p w:rsidR="00104FCB" w:rsidRDefault="00104FCB" w:rsidP="00E6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FCB" w:rsidRDefault="00104FCB" w:rsidP="00E64DC2">
      <w:pPr>
        <w:spacing w:after="0" w:line="240" w:lineRule="auto"/>
      </w:pPr>
      <w:r>
        <w:separator/>
      </w:r>
    </w:p>
  </w:footnote>
  <w:footnote w:type="continuationSeparator" w:id="0">
    <w:p w:rsidR="00104FCB" w:rsidRDefault="00104FCB" w:rsidP="00E6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168415"/>
      <w:docPartObj>
        <w:docPartGallery w:val="Page Numbers (Top of Page)"/>
        <w:docPartUnique/>
      </w:docPartObj>
    </w:sdtPr>
    <w:sdtEndPr/>
    <w:sdtContent>
      <w:p w:rsidR="00E64DC2" w:rsidRDefault="00E64DC2">
        <w:pPr>
          <w:pStyle w:val="a5"/>
          <w:jc w:val="right"/>
        </w:pPr>
        <w:r>
          <w:fldChar w:fldCharType="begin"/>
        </w:r>
        <w:r>
          <w:instrText>PAGE   \* MERGEFORMAT</w:instrText>
        </w:r>
        <w:r>
          <w:fldChar w:fldCharType="separate"/>
        </w:r>
        <w:r w:rsidR="00CE2C50">
          <w:rPr>
            <w:noProof/>
          </w:rPr>
          <w:t>1</w:t>
        </w:r>
        <w:r>
          <w:fldChar w:fldCharType="end"/>
        </w:r>
      </w:p>
    </w:sdtContent>
  </w:sdt>
  <w:p w:rsidR="00E64DC2" w:rsidRDefault="00E64D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97B2C"/>
    <w:multiLevelType w:val="hybridMultilevel"/>
    <w:tmpl w:val="331C0D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1B67E3"/>
    <w:multiLevelType w:val="multilevel"/>
    <w:tmpl w:val="1550F838"/>
    <w:lvl w:ilvl="0">
      <w:start w:val="1"/>
      <w:numFmt w:val="decimal"/>
      <w:lvlText w:val="%1."/>
      <w:lvlJc w:val="left"/>
      <w:pPr>
        <w:ind w:left="1069" w:hanging="360"/>
      </w:pPr>
      <w:rPr>
        <w:rFonts w:hint="default"/>
        <w:sz w:val="24"/>
        <w:szCs w:val="24"/>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30D51D9"/>
    <w:multiLevelType w:val="multilevel"/>
    <w:tmpl w:val="19F8875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6B2A663C"/>
    <w:multiLevelType w:val="hybridMultilevel"/>
    <w:tmpl w:val="A198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34A5D"/>
    <w:multiLevelType w:val="multilevel"/>
    <w:tmpl w:val="4C642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31"/>
    <w:rsid w:val="0000090F"/>
    <w:rsid w:val="00056FEC"/>
    <w:rsid w:val="0007345E"/>
    <w:rsid w:val="00080E72"/>
    <w:rsid w:val="00086265"/>
    <w:rsid w:val="00092000"/>
    <w:rsid w:val="000B1998"/>
    <w:rsid w:val="000B2802"/>
    <w:rsid w:val="000E07D9"/>
    <w:rsid w:val="000E49AF"/>
    <w:rsid w:val="00104FCB"/>
    <w:rsid w:val="00111877"/>
    <w:rsid w:val="001270B7"/>
    <w:rsid w:val="00143223"/>
    <w:rsid w:val="00160244"/>
    <w:rsid w:val="00160890"/>
    <w:rsid w:val="001621A0"/>
    <w:rsid w:val="00176563"/>
    <w:rsid w:val="00185468"/>
    <w:rsid w:val="001B58BE"/>
    <w:rsid w:val="001D085A"/>
    <w:rsid w:val="001F3A3C"/>
    <w:rsid w:val="001F73BE"/>
    <w:rsid w:val="00200B7A"/>
    <w:rsid w:val="002162A4"/>
    <w:rsid w:val="002213AA"/>
    <w:rsid w:val="002374D9"/>
    <w:rsid w:val="00294CB0"/>
    <w:rsid w:val="002A0FB8"/>
    <w:rsid w:val="002B2A97"/>
    <w:rsid w:val="002C335D"/>
    <w:rsid w:val="002D3D94"/>
    <w:rsid w:val="002E2205"/>
    <w:rsid w:val="002F41D3"/>
    <w:rsid w:val="00302E1D"/>
    <w:rsid w:val="00312DF1"/>
    <w:rsid w:val="00313ABF"/>
    <w:rsid w:val="00327314"/>
    <w:rsid w:val="00393AE1"/>
    <w:rsid w:val="003B6F35"/>
    <w:rsid w:val="003C2C1A"/>
    <w:rsid w:val="003C46FC"/>
    <w:rsid w:val="003E1571"/>
    <w:rsid w:val="003E1CB3"/>
    <w:rsid w:val="003E22CC"/>
    <w:rsid w:val="003F5A70"/>
    <w:rsid w:val="00456076"/>
    <w:rsid w:val="00457E37"/>
    <w:rsid w:val="0046073D"/>
    <w:rsid w:val="00474945"/>
    <w:rsid w:val="00476550"/>
    <w:rsid w:val="0047762A"/>
    <w:rsid w:val="004931E6"/>
    <w:rsid w:val="004B010B"/>
    <w:rsid w:val="004C3890"/>
    <w:rsid w:val="004E0DEE"/>
    <w:rsid w:val="004E70EF"/>
    <w:rsid w:val="004F7771"/>
    <w:rsid w:val="00552CB3"/>
    <w:rsid w:val="00552DFA"/>
    <w:rsid w:val="00572E16"/>
    <w:rsid w:val="005868AB"/>
    <w:rsid w:val="00586EE0"/>
    <w:rsid w:val="00593BF5"/>
    <w:rsid w:val="005A7647"/>
    <w:rsid w:val="005B2F0F"/>
    <w:rsid w:val="005D3360"/>
    <w:rsid w:val="005F4B59"/>
    <w:rsid w:val="005F4E6F"/>
    <w:rsid w:val="00607FEE"/>
    <w:rsid w:val="00663879"/>
    <w:rsid w:val="00670434"/>
    <w:rsid w:val="00676E35"/>
    <w:rsid w:val="00685BA1"/>
    <w:rsid w:val="00690632"/>
    <w:rsid w:val="00696F7A"/>
    <w:rsid w:val="006C3504"/>
    <w:rsid w:val="006C5254"/>
    <w:rsid w:val="006C794B"/>
    <w:rsid w:val="006E1FAF"/>
    <w:rsid w:val="00723840"/>
    <w:rsid w:val="007263B3"/>
    <w:rsid w:val="0073740B"/>
    <w:rsid w:val="007507E1"/>
    <w:rsid w:val="007D4C8C"/>
    <w:rsid w:val="0083572D"/>
    <w:rsid w:val="00845427"/>
    <w:rsid w:val="008577A5"/>
    <w:rsid w:val="00873FD0"/>
    <w:rsid w:val="00882B0B"/>
    <w:rsid w:val="0088627C"/>
    <w:rsid w:val="008A2D43"/>
    <w:rsid w:val="008A7B9F"/>
    <w:rsid w:val="008E136A"/>
    <w:rsid w:val="008E218B"/>
    <w:rsid w:val="00954629"/>
    <w:rsid w:val="009617D6"/>
    <w:rsid w:val="00961EEE"/>
    <w:rsid w:val="00981812"/>
    <w:rsid w:val="00993743"/>
    <w:rsid w:val="009B05BD"/>
    <w:rsid w:val="009C6D6C"/>
    <w:rsid w:val="009D45D2"/>
    <w:rsid w:val="009D61B5"/>
    <w:rsid w:val="00A10254"/>
    <w:rsid w:val="00A2065D"/>
    <w:rsid w:val="00A35EE8"/>
    <w:rsid w:val="00A42D61"/>
    <w:rsid w:val="00A5196C"/>
    <w:rsid w:val="00A6547D"/>
    <w:rsid w:val="00A80F08"/>
    <w:rsid w:val="00A9188E"/>
    <w:rsid w:val="00A9342E"/>
    <w:rsid w:val="00AA0EB7"/>
    <w:rsid w:val="00AB0FBB"/>
    <w:rsid w:val="00B075E1"/>
    <w:rsid w:val="00B21A9D"/>
    <w:rsid w:val="00B24E90"/>
    <w:rsid w:val="00B31831"/>
    <w:rsid w:val="00B321A8"/>
    <w:rsid w:val="00BA1366"/>
    <w:rsid w:val="00BA7FB2"/>
    <w:rsid w:val="00BB2F17"/>
    <w:rsid w:val="00BC2174"/>
    <w:rsid w:val="00BC2DB3"/>
    <w:rsid w:val="00BC6D21"/>
    <w:rsid w:val="00BF0A27"/>
    <w:rsid w:val="00BF1689"/>
    <w:rsid w:val="00BF3FCC"/>
    <w:rsid w:val="00C41550"/>
    <w:rsid w:val="00C51530"/>
    <w:rsid w:val="00CA229A"/>
    <w:rsid w:val="00CB1C33"/>
    <w:rsid w:val="00CD2F89"/>
    <w:rsid w:val="00CD549E"/>
    <w:rsid w:val="00CE2C50"/>
    <w:rsid w:val="00CE3A0C"/>
    <w:rsid w:val="00CE6C84"/>
    <w:rsid w:val="00CF4079"/>
    <w:rsid w:val="00D00D87"/>
    <w:rsid w:val="00D2317A"/>
    <w:rsid w:val="00D31E48"/>
    <w:rsid w:val="00D348F6"/>
    <w:rsid w:val="00D4128F"/>
    <w:rsid w:val="00D43225"/>
    <w:rsid w:val="00D90904"/>
    <w:rsid w:val="00DB23CD"/>
    <w:rsid w:val="00E1089E"/>
    <w:rsid w:val="00E20FB7"/>
    <w:rsid w:val="00E22C50"/>
    <w:rsid w:val="00E32F7F"/>
    <w:rsid w:val="00E5652A"/>
    <w:rsid w:val="00E64DC2"/>
    <w:rsid w:val="00E90E5C"/>
    <w:rsid w:val="00EC0516"/>
    <w:rsid w:val="00F214BA"/>
    <w:rsid w:val="00F52AF3"/>
    <w:rsid w:val="00F612DA"/>
    <w:rsid w:val="00F863A7"/>
    <w:rsid w:val="00FA42E5"/>
    <w:rsid w:val="00FB3177"/>
    <w:rsid w:val="00FC2A80"/>
    <w:rsid w:val="00FE0BF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20B6"/>
  <w15:chartTrackingRefBased/>
  <w15:docId w15:val="{D26F3E9E-9248-47E3-B197-E0E315B1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2CB3"/>
    <w:rPr>
      <w:color w:val="0563C1" w:themeColor="hyperlink"/>
      <w:u w:val="single"/>
    </w:rPr>
  </w:style>
  <w:style w:type="paragraph" w:styleId="a4">
    <w:name w:val="List Paragraph"/>
    <w:basedOn w:val="a"/>
    <w:uiPriority w:val="34"/>
    <w:qFormat/>
    <w:rsid w:val="00AB0FBB"/>
    <w:pPr>
      <w:ind w:left="720"/>
      <w:contextualSpacing/>
    </w:pPr>
  </w:style>
  <w:style w:type="paragraph" w:styleId="a5">
    <w:name w:val="header"/>
    <w:basedOn w:val="a"/>
    <w:link w:val="a6"/>
    <w:uiPriority w:val="99"/>
    <w:unhideWhenUsed/>
    <w:rsid w:val="00E64D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4DC2"/>
  </w:style>
  <w:style w:type="paragraph" w:styleId="a7">
    <w:name w:val="footer"/>
    <w:basedOn w:val="a"/>
    <w:link w:val="a8"/>
    <w:uiPriority w:val="99"/>
    <w:unhideWhenUsed/>
    <w:rsid w:val="00E64D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4DC2"/>
  </w:style>
  <w:style w:type="table" w:styleId="2">
    <w:name w:val="Plain Table 2"/>
    <w:basedOn w:val="a1"/>
    <w:uiPriority w:val="42"/>
    <w:rsid w:val="003E15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9">
    <w:name w:val="Table Grid"/>
    <w:basedOn w:val="a1"/>
    <w:uiPriority w:val="39"/>
    <w:rsid w:val="00C5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4E70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congress.inescongress.com/2018/egitim-arastirmalari-201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2666</Words>
  <Characters>15200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2018-11-24T18:16:00Z</dcterms:created>
  <dcterms:modified xsi:type="dcterms:W3CDTF">2018-11-24T18:32:00Z</dcterms:modified>
</cp:coreProperties>
</file>