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A0" w:rsidRDefault="006B1346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  <w:lang w:val="tr-TR"/>
        </w:rPr>
      </w:pPr>
      <w:r>
        <w:rPr>
          <w:rFonts w:ascii="TimesNewRomanPS-BoldMT" w:hAnsi="TimesNewRomanPS-BoldMT" w:cs="TimesNewRomanPS-BoldMT"/>
          <w:b/>
          <w:bCs/>
          <w:noProof/>
          <w:sz w:val="36"/>
          <w:szCs w:val="36"/>
          <w:lang w:val="tr-TR" w:eastAsia="tr-TR"/>
        </w:rPr>
        <w:drawing>
          <wp:inline distT="0" distB="0" distL="0" distR="0">
            <wp:extent cx="4010025" cy="1581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  <w:lang w:val="tr-TR"/>
        </w:rPr>
      </w:pP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  <w:lang w:val="tr-TR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lang w:val="tr-TR"/>
        </w:rPr>
        <w:t>THE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72"/>
          <w:szCs w:val="72"/>
          <w:lang w:val="tr-TR"/>
        </w:rPr>
      </w:pPr>
      <w:r>
        <w:rPr>
          <w:rFonts w:ascii="TimesNewRomanPSMT" w:hAnsi="TimesNewRomanPSMT" w:cs="TimesNewRomanPSMT"/>
          <w:sz w:val="72"/>
          <w:szCs w:val="72"/>
          <w:lang w:val="tr-TR"/>
        </w:rPr>
        <w:t>TURKISH ONLINE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72"/>
          <w:szCs w:val="72"/>
          <w:lang w:val="tr-TR"/>
        </w:rPr>
      </w:pPr>
      <w:r>
        <w:rPr>
          <w:rFonts w:ascii="TimesNewRomanPSMT" w:hAnsi="TimesNewRomanPSMT" w:cs="TimesNewRomanPSMT"/>
          <w:sz w:val="72"/>
          <w:szCs w:val="72"/>
          <w:lang w:val="tr-TR"/>
        </w:rPr>
        <w:t>JOURNAL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  <w:lang w:val="tr-TR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lang w:val="tr-TR"/>
        </w:rPr>
        <w:t>OF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72"/>
          <w:szCs w:val="72"/>
          <w:lang w:val="tr-TR"/>
        </w:rPr>
      </w:pPr>
      <w:r>
        <w:rPr>
          <w:rFonts w:ascii="TimesNewRomanPSMT" w:hAnsi="TimesNewRomanPSMT" w:cs="TimesNewRomanPSMT"/>
          <w:sz w:val="72"/>
          <w:szCs w:val="72"/>
          <w:lang w:val="tr-TR"/>
        </w:rPr>
        <w:t>EDUCATIONAL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72"/>
          <w:szCs w:val="72"/>
          <w:lang w:val="tr-TR"/>
        </w:rPr>
      </w:pPr>
      <w:r>
        <w:rPr>
          <w:rFonts w:ascii="TimesNewRomanPSMT" w:hAnsi="TimesNewRomanPSMT" w:cs="TimesNewRomanPSMT"/>
          <w:sz w:val="72"/>
          <w:szCs w:val="72"/>
          <w:lang w:val="tr-TR"/>
        </w:rPr>
        <w:t>TECHNOLOGY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8"/>
          <w:szCs w:val="48"/>
          <w:lang w:val="tr-TR"/>
        </w:rPr>
      </w:pPr>
      <w:r>
        <w:rPr>
          <w:rFonts w:ascii="TimesNewRomanPS-BoldMT" w:hAnsi="TimesNewRomanPS-BoldMT" w:cs="TimesNewRomanPS-BoldMT"/>
          <w:b/>
          <w:bCs/>
          <w:sz w:val="48"/>
          <w:szCs w:val="48"/>
          <w:lang w:val="tr-TR"/>
        </w:rPr>
        <w:t>July 2015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tr-TR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tr-TR"/>
        </w:rPr>
        <w:t>Special Issue 1 for IETC 2015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  <w:t>Prof. Dr. Aytekin İşman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tr-TR"/>
        </w:rPr>
      </w:pPr>
      <w:r>
        <w:rPr>
          <w:rFonts w:ascii="TimesNewRomanPSMT" w:hAnsi="TimesNewRomanPSMT" w:cs="TimesNewRomanPSMT"/>
          <w:sz w:val="24"/>
          <w:szCs w:val="24"/>
          <w:lang w:val="tr-TR"/>
        </w:rPr>
        <w:t>Editor-in-Chief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tr-TR"/>
        </w:rPr>
      </w:pPr>
      <w:r>
        <w:rPr>
          <w:rFonts w:ascii="TimesNewRomanPSMT" w:hAnsi="TimesNewRomanPSMT" w:cs="TimesNewRomanPSMT"/>
          <w:sz w:val="24"/>
          <w:szCs w:val="24"/>
          <w:lang w:val="tr-TR"/>
        </w:rPr>
        <w:t>Editors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  <w:t>Prof. Dr. Jerry Willis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  <w:t>Prof. Dr. J. Ana Donaldson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tr-TR"/>
        </w:rPr>
      </w:pPr>
      <w:r>
        <w:rPr>
          <w:rFonts w:ascii="TimesNewRomanPSMT" w:hAnsi="TimesNewRomanPSMT" w:cs="TimesNewRomanPSMT"/>
          <w:sz w:val="24"/>
          <w:szCs w:val="24"/>
          <w:lang w:val="tr-TR"/>
        </w:rPr>
        <w:t>Associate Editor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  <w:t>Assist. Prof. Dr. Fahme Dabaj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tr-TR"/>
        </w:rPr>
      </w:pPr>
      <w:r>
        <w:rPr>
          <w:rFonts w:ascii="TimesNewRomanPSMT" w:hAnsi="TimesNewRomanPSMT" w:cs="TimesNewRomanPSMT"/>
          <w:sz w:val="24"/>
          <w:szCs w:val="24"/>
          <w:lang w:val="tr-TR"/>
        </w:rPr>
        <w:t>Assistant Editor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  <w:t>Assoc. Prof. Dr. Eric Zhi - Feng Liu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  <w:t>ISSN: 1303 - 6521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  <w:t>Indexed by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</w:pPr>
      <w:r>
        <w:rPr>
          <w:rFonts w:ascii="TimesNewRomanPSMT" w:hAnsi="TimesNewRomanPSMT" w:cs="TimesNewRomanPSMT"/>
          <w:sz w:val="24"/>
          <w:szCs w:val="24"/>
          <w:lang w:val="tr-TR"/>
        </w:rPr>
        <w:t xml:space="preserve">Education Resources Information Center –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  <w:t>ERIC</w:t>
      </w:r>
    </w:p>
    <w:p w:rsidR="001F5E6F" w:rsidRDefault="00AA4BA0" w:rsidP="00AA4BA0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tr-TR"/>
        </w:rPr>
        <w:t>SCOPUS - ELSEVIER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8"/>
          <w:szCs w:val="18"/>
          <w:lang w:val="tr-TR"/>
        </w:rPr>
      </w:pP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8"/>
          <w:szCs w:val="18"/>
          <w:lang w:val="tr-TR"/>
        </w:rPr>
      </w:pP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8"/>
          <w:szCs w:val="18"/>
          <w:lang w:val="tr-TR"/>
        </w:rPr>
      </w:pPr>
    </w:p>
    <w:p w:rsidR="00AA4BA0" w:rsidRPr="00EC05C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EC05C0">
        <w:rPr>
          <w:rFonts w:ascii="Times New Roman" w:hAnsi="Times New Roman" w:cs="Times New Roman"/>
          <w:sz w:val="24"/>
          <w:szCs w:val="24"/>
          <w:lang w:val="tr-TR"/>
        </w:rPr>
        <w:t>The Adaptation And Validation Of The Turkish Version Of The Three-Branch E</w:t>
      </w:r>
      <w:r w:rsidRPr="00EC05C0">
        <w:rPr>
          <w:rFonts w:ascii="Times New Roman" w:hAnsi="Times New Roman" w:cs="Times New Roman"/>
          <w:sz w:val="24"/>
          <w:szCs w:val="24"/>
          <w:lang w:val="tr-TR"/>
        </w:rPr>
        <w:t>motional Intelligence Rating Scale (Page:</w:t>
      </w:r>
      <w:r w:rsidRPr="00EC05C0">
        <w:rPr>
          <w:rFonts w:ascii="Times New Roman" w:hAnsi="Times New Roman" w:cs="Times New Roman"/>
          <w:sz w:val="24"/>
          <w:szCs w:val="24"/>
          <w:lang w:val="tr-TR"/>
        </w:rPr>
        <w:t>518</w:t>
      </w:r>
      <w:r w:rsidRPr="00EC05C0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AA4BA0" w:rsidRPr="00EC05C0" w:rsidRDefault="00AA4BA0" w:rsidP="00AA4BA0">
      <w:pPr>
        <w:rPr>
          <w:rFonts w:ascii="Times New Roman" w:eastAsia="TimesNewRomanPS-ItalicMT" w:hAnsi="Times New Roman" w:cs="Times New Roman"/>
          <w:i/>
          <w:iCs/>
          <w:sz w:val="24"/>
          <w:szCs w:val="24"/>
          <w:lang w:val="tr-TR"/>
        </w:rPr>
      </w:pPr>
      <w:r w:rsidRPr="00EC05C0">
        <w:rPr>
          <w:rFonts w:ascii="Times New Roman" w:eastAsia="TimesNewRomanPS-ItalicMT" w:hAnsi="Times New Roman" w:cs="Times New Roman"/>
          <w:i/>
          <w:iCs/>
          <w:sz w:val="24"/>
          <w:szCs w:val="24"/>
          <w:lang w:val="tr-TR"/>
        </w:rPr>
        <w:t>Serhat ARSLAN, İlker İ</w:t>
      </w:r>
      <w:r w:rsidR="00EC05C0">
        <w:rPr>
          <w:rFonts w:ascii="Times New Roman" w:eastAsia="TimesNewRomanPS-ItalicMT" w:hAnsi="Times New Roman" w:cs="Times New Roman"/>
          <w:i/>
          <w:iCs/>
          <w:sz w:val="24"/>
          <w:szCs w:val="24"/>
          <w:lang w:val="tr-TR"/>
        </w:rPr>
        <w:t>ŞERİ</w:t>
      </w:r>
      <w:r w:rsidRPr="00EC05C0">
        <w:rPr>
          <w:rFonts w:ascii="Times New Roman" w:eastAsia="TimesNewRomanPS-ItalicMT" w:hAnsi="Times New Roman" w:cs="Times New Roman"/>
          <w:i/>
          <w:iCs/>
          <w:sz w:val="24"/>
          <w:szCs w:val="24"/>
          <w:lang w:val="tr-TR"/>
        </w:rPr>
        <w:t>, Mehmet AKCAALAN, Cengiz YURDAKUL</w:t>
      </w:r>
      <w:bookmarkStart w:id="0" w:name="_GoBack"/>
      <w:bookmarkEnd w:id="0"/>
    </w:p>
    <w:p w:rsidR="005F674F" w:rsidRDefault="005F674F" w:rsidP="00AA4B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tr-TR"/>
        </w:rPr>
      </w:pPr>
    </w:p>
    <w:p w:rsidR="00EC05C0" w:rsidRDefault="00EC05C0" w:rsidP="00EC05C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tr-TR"/>
        </w:rPr>
      </w:pPr>
    </w:p>
    <w:p w:rsidR="00EC05C0" w:rsidRDefault="00AA4BA0" w:rsidP="00EC05C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tr-TR"/>
        </w:rPr>
      </w:pPr>
      <w:r>
        <w:rPr>
          <w:rFonts w:ascii="Times-Bold" w:hAnsi="Times-Bold" w:cs="Times-Bold"/>
          <w:b/>
          <w:bCs/>
          <w:sz w:val="24"/>
          <w:szCs w:val="24"/>
          <w:lang w:val="tr-TR"/>
        </w:rPr>
        <w:lastRenderedPageBreak/>
        <w:t>The Adaptation And Validation Of The Turkish Versio</w:t>
      </w:r>
      <w:r w:rsidR="00EC05C0">
        <w:rPr>
          <w:rFonts w:ascii="Times-Bold" w:hAnsi="Times-Bold" w:cs="Times-Bold"/>
          <w:b/>
          <w:bCs/>
          <w:sz w:val="24"/>
          <w:szCs w:val="24"/>
          <w:lang w:val="tr-TR"/>
        </w:rPr>
        <w:t>n Of</w:t>
      </w:r>
    </w:p>
    <w:p w:rsidR="00AA4BA0" w:rsidRDefault="00AA4BA0" w:rsidP="00EC05C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tr-TR"/>
        </w:rPr>
      </w:pPr>
      <w:r>
        <w:rPr>
          <w:rFonts w:ascii="Times-Bold" w:hAnsi="Times-Bold" w:cs="Times-Bold"/>
          <w:b/>
          <w:bCs/>
          <w:sz w:val="24"/>
          <w:szCs w:val="24"/>
          <w:lang w:val="tr-TR"/>
        </w:rPr>
        <w:t xml:space="preserve">The Three-Branch Emotional </w:t>
      </w:r>
      <w:r>
        <w:rPr>
          <w:rFonts w:ascii="Times-Bold" w:hAnsi="Times-Bold" w:cs="Times-Bold"/>
          <w:b/>
          <w:bCs/>
          <w:sz w:val="24"/>
          <w:szCs w:val="24"/>
          <w:lang w:val="tr-TR"/>
        </w:rPr>
        <w:t>Intelligence Rating Scale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tr-TR"/>
        </w:rPr>
      </w:pP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  <w:lang w:val="tr-TR"/>
        </w:rPr>
      </w:pPr>
      <w:r>
        <w:rPr>
          <w:rFonts w:ascii="Times-Bold" w:hAnsi="Times-Bold" w:cs="Times-Bold"/>
          <w:b/>
          <w:bCs/>
          <w:sz w:val="20"/>
          <w:szCs w:val="20"/>
          <w:lang w:val="tr-TR"/>
        </w:rPr>
        <w:t>Serhat Arslan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  <w:lang w:val="tr-TR"/>
        </w:rPr>
      </w:pPr>
      <w:r>
        <w:rPr>
          <w:rFonts w:ascii="Times-Italic" w:hAnsi="Times-Italic" w:cs="Times-Italic"/>
          <w:i/>
          <w:iCs/>
          <w:sz w:val="16"/>
          <w:szCs w:val="16"/>
          <w:lang w:val="tr-TR"/>
        </w:rPr>
        <w:t>Sakarya University Educational Sciences Department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  <w:lang w:val="tr-TR"/>
        </w:rPr>
      </w:pPr>
      <w:r>
        <w:rPr>
          <w:rFonts w:ascii="Times-Italic" w:hAnsi="Times-Italic" w:cs="Times-Italic"/>
          <w:i/>
          <w:iCs/>
          <w:sz w:val="16"/>
          <w:szCs w:val="16"/>
          <w:lang w:val="tr-TR"/>
        </w:rPr>
        <w:t>serhatarslan@sakarya.edu.tr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tr-TR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  <w:lang w:val="tr-TR"/>
        </w:rPr>
        <w:t>İlker İşeri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  <w:lang w:val="tr-TR"/>
        </w:rPr>
      </w:pPr>
      <w:r>
        <w:rPr>
          <w:rFonts w:ascii="Times-Italic" w:hAnsi="Times-Italic" w:cs="Times-Italic"/>
          <w:i/>
          <w:iCs/>
          <w:sz w:val="16"/>
          <w:szCs w:val="16"/>
          <w:lang w:val="tr-TR"/>
        </w:rPr>
        <w:t>Sakarya University Educational Sciences Department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  <w:lang w:val="tr-TR"/>
        </w:rPr>
      </w:pPr>
      <w:r>
        <w:rPr>
          <w:rFonts w:ascii="Times-Bold" w:hAnsi="Times-Bold" w:cs="Times-Bold"/>
          <w:b/>
          <w:bCs/>
          <w:sz w:val="20"/>
          <w:szCs w:val="20"/>
          <w:lang w:val="tr-TR"/>
        </w:rPr>
        <w:t>Mehmet Akcaalan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  <w:lang w:val="tr-TR"/>
        </w:rPr>
      </w:pPr>
      <w:r>
        <w:rPr>
          <w:rFonts w:ascii="Times-Italic" w:hAnsi="Times-Italic" w:cs="Times-Italic"/>
          <w:i/>
          <w:iCs/>
          <w:sz w:val="16"/>
          <w:szCs w:val="16"/>
          <w:lang w:val="tr-TR"/>
        </w:rPr>
        <w:t>Sakarya University Educational Sciences Department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  <w:lang w:val="tr-TR"/>
        </w:rPr>
      </w:pPr>
      <w:r>
        <w:rPr>
          <w:rFonts w:ascii="Times-Bold" w:hAnsi="Times-Bold" w:cs="Times-Bold"/>
          <w:b/>
          <w:bCs/>
          <w:sz w:val="20"/>
          <w:szCs w:val="20"/>
          <w:lang w:val="tr-TR"/>
        </w:rPr>
        <w:t>Cengiz Yurdakul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  <w:lang w:val="tr-TR"/>
        </w:rPr>
      </w:pPr>
      <w:r>
        <w:rPr>
          <w:rFonts w:ascii="Times-Italic" w:hAnsi="Times-Italic" w:cs="Times-Italic"/>
          <w:i/>
          <w:iCs/>
          <w:sz w:val="16"/>
          <w:szCs w:val="16"/>
          <w:lang w:val="tr-TR"/>
        </w:rPr>
        <w:t>Sakarya University Educational Sciences Department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  <w:lang w:val="tr-TR"/>
        </w:rPr>
      </w:pP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  <w:lang w:val="tr-TR"/>
        </w:rPr>
      </w:pPr>
      <w:r>
        <w:rPr>
          <w:rFonts w:ascii="Times-Bold" w:hAnsi="Times-Bold" w:cs="Times-Bold"/>
          <w:b/>
          <w:bCs/>
          <w:sz w:val="20"/>
          <w:szCs w:val="20"/>
          <w:lang w:val="tr-TR"/>
        </w:rPr>
        <w:t>Abstract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  <w:r>
        <w:rPr>
          <w:rFonts w:ascii="TimesNewRomanPSMT" w:hAnsi="TimesNewRomanPSMT" w:cs="TimesNewRomanPSMT"/>
          <w:sz w:val="20"/>
          <w:szCs w:val="20"/>
          <w:lang w:val="tr-TR"/>
        </w:rPr>
        <w:t>The aim of this research is to examine the validity and reliability of the Turk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ish Version of the Three-Branch </w:t>
      </w:r>
      <w:r>
        <w:rPr>
          <w:rFonts w:ascii="TimesNewRomanPSMT" w:hAnsi="TimesNewRomanPSMT" w:cs="TimesNewRomanPSMT"/>
          <w:sz w:val="20"/>
          <w:szCs w:val="20"/>
          <w:lang w:val="tr-TR"/>
        </w:rPr>
        <w:t>Emotional Intelligence Rating Scale (EIRS; Anguiano-Carrasco, MacCann, Geige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r, Seybert, and Roberts, 2015). </w:t>
      </w:r>
      <w:r>
        <w:rPr>
          <w:rFonts w:ascii="TimesNewRomanPSMT" w:hAnsi="TimesNewRomanPSMT" w:cs="TimesNewRomanPSMT"/>
          <w:sz w:val="20"/>
          <w:szCs w:val="20"/>
          <w:lang w:val="tr-TR"/>
        </w:rPr>
        <w:t>Participants were 325 university students. The results of confirmatory factor an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alysis demonstrated that the 18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items loaded on three factors (Perception, Understanding and Management) and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the three-dimensional model was </w:t>
      </w:r>
      <w:r>
        <w:rPr>
          <w:rFonts w:ascii="TimesNewRomanPSMT" w:hAnsi="TimesNewRomanPSMT" w:cs="TimesNewRomanPSMT"/>
          <w:sz w:val="20"/>
          <w:szCs w:val="20"/>
          <w:lang w:val="tr-TR"/>
        </w:rPr>
        <w:t>well fit (</w:t>
      </w:r>
      <w:r w:rsidRPr="006B1346">
        <w:rPr>
          <w:rFonts w:ascii="TimesNewRomanPSMT" w:hAnsi="TimesNewRomanPSMT" w:cs="TimesNewRomanPSMT"/>
          <w:sz w:val="20"/>
          <w:szCs w:val="20"/>
          <w:lang w:val="tr-TR"/>
        </w:rPr>
        <w:t>x</w:t>
      </w:r>
      <w:r w:rsidRPr="006B1346">
        <w:rPr>
          <w:rFonts w:ascii="TimesNewRomanPSMT" w:hAnsi="TimesNewRomanPSMT" w:cs="TimesNewRomanPSMT" w:hint="eastAsia"/>
          <w:sz w:val="20"/>
          <w:szCs w:val="20"/>
          <w:lang w:val="tr-TR"/>
        </w:rPr>
        <w:t>²</w:t>
      </w:r>
      <w:r w:rsidRPr="006B1346">
        <w:rPr>
          <w:rFonts w:ascii="TimesNewRomanPSMT" w:hAnsi="TimesNewRomanPSMT" w:cs="TimesNewRomanPSMT"/>
          <w:sz w:val="20"/>
          <w:szCs w:val="20"/>
          <w:lang w:val="tr-TR"/>
        </w:rPr>
        <w:t>=357.85, df=132, RMSEA=.0073, NFI=.93, NNFI=.94, CFI=.95, IFI=.95, RFI=.91, AGFI=.86 and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</w:t>
      </w:r>
      <w:r w:rsidRPr="006B1346">
        <w:rPr>
          <w:rFonts w:ascii="TimesNewRomanPSMT" w:hAnsi="TimesNewRomanPSMT" w:cs="TimesNewRomanPSMT"/>
          <w:sz w:val="20"/>
          <w:szCs w:val="20"/>
          <w:lang w:val="tr-TR"/>
        </w:rPr>
        <w:t>SRMR=.074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). The internal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consistency coefficients were .75 for perception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subscale, .86 for understanding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subscale, .77 for management subscale and .85 for the overall scale. The corrected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item-total correlations of EIRS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ranged from .20 to .61. Overall findings demonstrated that this scale is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a valid and reliable instrument for measuring </w:t>
      </w:r>
      <w:r>
        <w:rPr>
          <w:rFonts w:ascii="TimesNewRomanPSMT" w:hAnsi="TimesNewRomanPSMT" w:cs="TimesNewRomanPSMT"/>
          <w:sz w:val="20"/>
          <w:szCs w:val="20"/>
          <w:lang w:val="tr-TR"/>
        </w:rPr>
        <w:t>individuals’ tendencies to emotional intelligence.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tr-TR"/>
        </w:rPr>
      </w:pP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tr-TR"/>
        </w:rPr>
      </w:pP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Keywords: </w:t>
      </w:r>
      <w:r>
        <w:rPr>
          <w:rFonts w:ascii="TimesNewRomanPSMT" w:hAnsi="TimesNewRomanPSMT" w:cs="TimesNewRomanPSMT"/>
          <w:sz w:val="20"/>
          <w:szCs w:val="20"/>
          <w:lang w:val="tr-TR"/>
        </w:rPr>
        <w:t>Emotional intelligence, validity, reliability, confirmatory factor analysis</w:t>
      </w: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  <w:lang w:val="tr-TR"/>
        </w:rPr>
      </w:pPr>
    </w:p>
    <w:p w:rsidR="00AA4BA0" w:rsidRDefault="00AA4BA0" w:rsidP="00AA4BA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  <w:lang w:val="tr-TR"/>
        </w:rPr>
      </w:pPr>
      <w:r>
        <w:rPr>
          <w:rFonts w:ascii="Times-Bold" w:hAnsi="Times-Bold" w:cs="Times-Bold"/>
          <w:b/>
          <w:bCs/>
          <w:sz w:val="20"/>
          <w:szCs w:val="20"/>
          <w:lang w:val="tr-TR"/>
        </w:rPr>
        <w:t>Introduction</w:t>
      </w:r>
    </w:p>
    <w:p w:rsidR="005F674F" w:rsidRDefault="00AA4BA0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  <w:r>
        <w:rPr>
          <w:rFonts w:ascii="TimesNewRomanPSMT" w:hAnsi="TimesNewRomanPSMT" w:cs="TimesNewRomanPSMT"/>
          <w:sz w:val="20"/>
          <w:szCs w:val="20"/>
          <w:lang w:val="tr-TR"/>
        </w:rPr>
        <w:t>Students in the new era have to be very well prepared for jobs involv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ing information and technology. They have </w:t>
      </w:r>
      <w:r>
        <w:rPr>
          <w:rFonts w:ascii="TimesNewRomanPSMT" w:hAnsi="TimesNewRomanPSMT" w:cs="TimesNewRomanPSMT"/>
          <w:sz w:val="20"/>
          <w:szCs w:val="20"/>
          <w:lang w:val="tr-TR"/>
        </w:rPr>
        <w:t>to be able to deal with stressful competition situations or the costs can be ve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ry high for the society and the </w:t>
      </w:r>
      <w:r>
        <w:rPr>
          <w:rFonts w:ascii="TimesNewRomanPSMT" w:hAnsi="TimesNewRomanPSMT" w:cs="TimesNewRomanPSMT"/>
          <w:sz w:val="20"/>
          <w:szCs w:val="20"/>
          <w:lang w:val="tr-TR"/>
        </w:rPr>
        <w:t>individuals themselves (Parker at al, 2004). Rapidly changing social and p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rofessional conditions has been </w:t>
      </w:r>
      <w:r>
        <w:rPr>
          <w:rFonts w:ascii="TimesNewRomanPSMT" w:hAnsi="TimesNewRomanPSMT" w:cs="TimesNewRomanPSMT"/>
          <w:sz w:val="20"/>
          <w:szCs w:val="20"/>
          <w:lang w:val="tr-TR"/>
        </w:rPr>
        <w:t>increasing the stress level of individuals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at home, at work and in social </w:t>
      </w:r>
      <w:r>
        <w:rPr>
          <w:rFonts w:ascii="TimesNewRomanPSMT" w:hAnsi="TimesNewRomanPSMT" w:cs="TimesNewRomanPSMT"/>
          <w:sz w:val="20"/>
          <w:szCs w:val="20"/>
          <w:lang w:val="tr-TR"/>
        </w:rPr>
        <w:t>environm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ent. One's ability to cope with </w:t>
      </w:r>
      <w:r>
        <w:rPr>
          <w:rFonts w:ascii="TimesNewRomanPSMT" w:hAnsi="TimesNewRomanPSMT" w:cs="TimesNewRomanPSMT"/>
          <w:sz w:val="20"/>
          <w:szCs w:val="20"/>
          <w:lang w:val="tr-TR"/>
        </w:rPr>
        <w:t>challenging and overwhelming stress and demands the new era brought, is a vital ele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ment of success in life, school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and work. When we consider the importance of academic success, we can see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why there is such a substantial </w:t>
      </w:r>
      <w:r>
        <w:rPr>
          <w:rFonts w:ascii="TimesNewRomanPSMT" w:hAnsi="TimesNewRomanPSMT" w:cs="TimesNewRomanPSMT"/>
          <w:sz w:val="20"/>
          <w:szCs w:val="20"/>
          <w:lang w:val="tr-TR"/>
        </w:rPr>
        <w:t>literature on promoting academic success at schools. Early study attempted to explain the role of cognitive proces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s </w:t>
      </w:r>
      <w:r>
        <w:rPr>
          <w:rFonts w:ascii="TimesNewRomanPSMT" w:hAnsi="TimesNewRomanPSMT" w:cs="TimesNewRomanPSMT"/>
          <w:sz w:val="20"/>
          <w:szCs w:val="20"/>
          <w:lang w:val="tr-TR"/>
        </w:rPr>
        <w:t>in success and research focused on this concept. One famous description of Cognitiv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e intelligence was "The ability </w:t>
      </w:r>
      <w:r>
        <w:rPr>
          <w:rFonts w:ascii="TimesNewRomanPSMT" w:hAnsi="TimesNewRomanPSMT" w:cs="TimesNewRomanPSMT"/>
          <w:sz w:val="20"/>
          <w:szCs w:val="20"/>
          <w:lang w:val="tr-TR"/>
        </w:rPr>
        <w:t>to learn new things, recall information, think rationally, apply knowledge and sol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ve problems." (Kaplan &amp; Sadock,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1991) Cognitive intelligence (IQ) was considered to be the most important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predictor of success until some </w:t>
      </w:r>
      <w:r>
        <w:rPr>
          <w:rFonts w:ascii="TimesNewRomanPSMT" w:hAnsi="TimesNewRomanPSMT" w:cs="TimesNewRomanPSMT"/>
          <w:sz w:val="20"/>
          <w:szCs w:val="20"/>
          <w:lang w:val="tr-TR"/>
        </w:rPr>
        <w:t>researchers claimed that IQ generates about %25 of the success and performanc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e at work (Hunter&amp;Hunter,1984), </w:t>
      </w:r>
      <w:r>
        <w:rPr>
          <w:rFonts w:ascii="TimesNewRomanPSMT" w:hAnsi="TimesNewRomanPSMT" w:cs="TimesNewRomanPSMT"/>
          <w:sz w:val="20"/>
          <w:szCs w:val="20"/>
          <w:lang w:val="tr-TR"/>
        </w:rPr>
        <w:t>and that social and emotional capability – which would be named “emotional intelligence”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later - was a four times </w:t>
      </w:r>
      <w:r>
        <w:rPr>
          <w:rFonts w:ascii="TimesNewRomanPSMT" w:hAnsi="TimesNewRomanPSMT" w:cs="TimesNewRomanPSMT"/>
          <w:sz w:val="20"/>
          <w:szCs w:val="20"/>
          <w:lang w:val="tr-TR"/>
        </w:rPr>
        <w:t>more important determinant than IQ in success (Sternberg, 1996). We can look at Thorndike's “social intelligence”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to understand the basis of EI. He defined social intelligence as "the ability to under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stand and manage others, to act </w:t>
      </w:r>
      <w:r>
        <w:rPr>
          <w:rFonts w:ascii="TimesNewRomanPSMT" w:hAnsi="TimesNewRomanPSMT" w:cs="TimesNewRomanPSMT"/>
          <w:sz w:val="20"/>
          <w:szCs w:val="20"/>
          <w:lang w:val="tr-TR"/>
        </w:rPr>
        <w:t>wisely in human relations" in 1920. Later, Gardner used the term “interpersonal intelligence” to replace the term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“social intelligence”, as a component of his Multiple Intelligences Theory (1983). Leuner use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d the term "emotional </w:t>
      </w:r>
      <w:r>
        <w:rPr>
          <w:rFonts w:ascii="TimesNewRomanPSMT" w:hAnsi="TimesNewRomanPSMT" w:cs="TimesNewRomanPSMT"/>
          <w:sz w:val="20"/>
          <w:szCs w:val="20"/>
          <w:lang w:val="tr-TR"/>
        </w:rPr>
        <w:t>intelligence" referring to social and emotional capability for the first time in hi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s study in 1966. He stated that </w:t>
      </w:r>
      <w:r>
        <w:rPr>
          <w:rFonts w:ascii="TimesNewRomanPSMT" w:hAnsi="TimesNewRomanPSMT" w:cs="TimesNewRomanPSMT"/>
          <w:sz w:val="20"/>
          <w:szCs w:val="20"/>
          <w:lang w:val="tr-TR"/>
        </w:rPr>
        <w:t>women who were seperated from their mothers at an early age had lower "emotiona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l intelligence" and as a result </w:t>
      </w:r>
      <w:r>
        <w:rPr>
          <w:rFonts w:ascii="TimesNewRomanPSMT" w:hAnsi="TimesNewRomanPSMT" w:cs="TimesNewRomanPSMT"/>
          <w:sz w:val="20"/>
          <w:szCs w:val="20"/>
          <w:lang w:val="tr-TR"/>
        </w:rPr>
        <w:t>of this, they reject their roles in the social life. After him, Payne used the term in E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nglish in his doctoral study in </w:t>
      </w:r>
      <w:r>
        <w:rPr>
          <w:rFonts w:ascii="TimesNewRomanPSMT" w:hAnsi="TimesNewRomanPSMT" w:cs="TimesNewRomanPSMT"/>
          <w:sz w:val="20"/>
          <w:szCs w:val="20"/>
          <w:lang w:val="tr-TR"/>
        </w:rPr>
        <w:t>1986. Greenspan stated that emotions were the basis of human intelligence in 1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989. Salovey and Mayer made the </w:t>
      </w:r>
      <w:r>
        <w:rPr>
          <w:rFonts w:ascii="TimesNewRomanPSMT" w:hAnsi="TimesNewRomanPSMT" w:cs="TimesNewRomanPSMT"/>
          <w:sz w:val="20"/>
          <w:szCs w:val="20"/>
          <w:lang w:val="tr-TR"/>
        </w:rPr>
        <w:t>first formal definition of “emotional intelligence” in 1990. They described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"emotional intelligence" as an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individual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capability to </w:t>
      </w:r>
      <w:r>
        <w:rPr>
          <w:rFonts w:ascii="TimesNewRomanPSMT" w:hAnsi="TimesNewRomanPSMT" w:cs="TimesNewRomanPSMT"/>
          <w:sz w:val="20"/>
          <w:szCs w:val="20"/>
          <w:lang w:val="tr-TR"/>
        </w:rPr>
        <w:t>understand their own and other people's feelings and emo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tions and differentiate between </w:t>
      </w:r>
      <w:r>
        <w:rPr>
          <w:rFonts w:ascii="TimesNewRomanPSMT" w:hAnsi="TimesNewRomanPSMT" w:cs="TimesNewRomanPSMT"/>
          <w:sz w:val="20"/>
          <w:szCs w:val="20"/>
          <w:lang w:val="tr-TR"/>
        </w:rPr>
        <w:t>them and use this data to manage their thinking and behaviour (Salovey &amp; Ma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yer 1990). Their description is </w:t>
      </w:r>
      <w:r>
        <w:rPr>
          <w:rFonts w:ascii="TimesNewRomanPSMT" w:hAnsi="TimesNewRomanPSMT" w:cs="TimesNewRomanPSMT"/>
          <w:sz w:val="20"/>
          <w:szCs w:val="20"/>
          <w:lang w:val="tr-TR"/>
        </w:rPr>
        <w:t>widely used to explain “emotional intelligence” today. The term “emotional intelligence” did not catch public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attention until Goleman's book in 1995. In that book, Goleman discussed that skills like self-awareness, emphaty,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and self-discipline have an important role in determining the success in personal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and professional life. Goleman </w:t>
      </w:r>
      <w:r>
        <w:rPr>
          <w:rFonts w:ascii="TimesNewRomanPSMT" w:hAnsi="TimesNewRomanPSMT" w:cs="TimesNewRomanPSMT"/>
          <w:sz w:val="20"/>
          <w:szCs w:val="20"/>
          <w:lang w:val="tr-TR"/>
        </w:rPr>
        <w:t>also stated that violence, irresponsible behaviours and insolance were underminin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g the education and society and </w:t>
      </w:r>
      <w:r>
        <w:rPr>
          <w:rFonts w:ascii="TimesNewRomanPSMT" w:hAnsi="TimesNewRomanPSMT" w:cs="TimesNewRomanPSMT"/>
          <w:sz w:val="20"/>
          <w:szCs w:val="20"/>
          <w:lang w:val="tr-TR"/>
        </w:rPr>
        <w:t>claimed that "emotional intelligence" was the key to solve these problems. This ca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ught attention of educators and </w:t>
      </w:r>
      <w:r>
        <w:rPr>
          <w:rFonts w:ascii="TimesNewRomanPSMT" w:hAnsi="TimesNewRomanPSMT" w:cs="TimesNewRomanPSMT"/>
          <w:sz w:val="20"/>
          <w:szCs w:val="20"/>
          <w:lang w:val="tr-TR"/>
        </w:rPr>
        <w:t>the public so the term “emotional" intelligence started to be widely used along with education. Goleman's study</w:t>
      </w:r>
      <w:r w:rsidR="00EC05C0">
        <w:rPr>
          <w:rFonts w:ascii="TimesNewRomanPSMT" w:hAnsi="TimesNewRomanPSMT" w:cs="TimesNewRomanPSMT"/>
          <w:sz w:val="20"/>
          <w:szCs w:val="20"/>
          <w:lang w:val="tr-TR"/>
        </w:rPr>
        <w:t xml:space="preserve">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promoted many scientists and researchers to make definitions and developing m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eans of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lastRenderedPageBreak/>
        <w:t xml:space="preserve">measuring the emotional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intelligence skills. Reuven Bar-On produced the first verified measure of "emotio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nally intelligent behavior" th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EQ-i. He defined "emotional intelligence" as a group of non-cognitive capabilit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ies, abilities, and skills that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influence one's competency to succeed in dealing with demands and pressures of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the environment" Bar-On (2002).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Many studies have been conducted to find and explain the correlation betwee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n EI and academic success after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Goleman’s study. Rozell, Pettijohn &amp; Parker's utilized the Goleman (1995) scale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 and the results showed a small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but important connection. Schutte's finding was that the students’ self-report EI measure predicted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their academic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grade averages significantly (1998). Petrides, Fredrickson and Furnham’s study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(2004) indicated that emotional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intelligence plays a role as a moderator of the relationship between cognitive capab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ility and academic performance.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A study by Parker et al. (2004) showed that some aspects of EI are predicto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rs of academic success. A study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conducted by Rode, Arthaud-Day, Rubin, Boomer, Mooney Baldwin &amp; Near (200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7) found that EI contributes to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the academic success. Newsome, Day&amp;Catano (2000) studied on the relationsh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ip between academic success and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EI, cognitive capabilities and personality. They used EQi (emotional quiotient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inventory) and the study showed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no significant relationship. O'Connor and Little's study (2003) found that EI is an unimportant p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redictor of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academic success. Interest in the EI has been increasing rapidly even though d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isagreements and arguments will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probably continue. "While the progress of the emotional intelligence paradigm ha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s been impressive, much remains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to be discovered." (Goleman &amp; Emerling 2003). Hence, it is important to adapt t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 xml:space="preserve">his questionnaire to Turkish to </w:t>
      </w:r>
      <w:r w:rsidR="005F674F">
        <w:rPr>
          <w:rFonts w:ascii="TimesNewRomanPSMT" w:hAnsi="TimesNewRomanPSMT" w:cs="TimesNewRomanPSMT"/>
          <w:sz w:val="20"/>
          <w:szCs w:val="20"/>
          <w:lang w:val="tr-TR"/>
        </w:rPr>
        <w:t>investigate the undiscovered areas of emotional intelligence.</w:t>
      </w:r>
    </w:p>
    <w:p w:rsidR="005F674F" w:rsidRDefault="005F674F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</w:p>
    <w:p w:rsidR="005F674F" w:rsidRPr="006B1346" w:rsidRDefault="005F674F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  <w:lang w:val="tr-TR"/>
        </w:rPr>
      </w:pPr>
      <w:r w:rsidRPr="006B1346">
        <w:rPr>
          <w:rFonts w:ascii="TimesNewRomanPSMT" w:hAnsi="TimesNewRomanPSMT" w:cs="TimesNewRomanPSMT"/>
          <w:b/>
          <w:sz w:val="20"/>
          <w:szCs w:val="20"/>
          <w:lang w:val="tr-TR"/>
        </w:rPr>
        <w:t>Method</w:t>
      </w:r>
    </w:p>
    <w:p w:rsidR="00EC05C0" w:rsidRDefault="00EC05C0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  <w:lang w:val="tr-TR"/>
        </w:rPr>
      </w:pPr>
    </w:p>
    <w:p w:rsidR="005F674F" w:rsidRPr="006B1346" w:rsidRDefault="005F674F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  <w:lang w:val="tr-TR"/>
        </w:rPr>
      </w:pPr>
      <w:r w:rsidRPr="006B1346">
        <w:rPr>
          <w:rFonts w:ascii="TimesNewRomanPSMT" w:hAnsi="TimesNewRomanPSMT" w:cs="TimesNewRomanPSMT"/>
          <w:b/>
          <w:sz w:val="20"/>
          <w:szCs w:val="20"/>
          <w:lang w:val="tr-TR"/>
        </w:rPr>
        <w:t>2.1 Participants</w:t>
      </w:r>
    </w:p>
    <w:p w:rsidR="005F674F" w:rsidRDefault="005F674F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  <w:r>
        <w:rPr>
          <w:rFonts w:ascii="TimesNewRomanPSMT" w:hAnsi="TimesNewRomanPSMT" w:cs="TimesNewRomanPSMT"/>
          <w:sz w:val="20"/>
          <w:szCs w:val="20"/>
          <w:lang w:val="tr-TR"/>
        </w:rPr>
        <w:t>The sample of this study consisted of 325 university students from Sakarya Universi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ty, Turkey. Of the participants </w:t>
      </w:r>
      <w:r>
        <w:rPr>
          <w:rFonts w:ascii="TimesNewRomanPSMT" w:hAnsi="TimesNewRomanPSMT" w:cs="TimesNewRomanPSMT"/>
          <w:sz w:val="20"/>
          <w:szCs w:val="20"/>
          <w:lang w:val="tr-TR"/>
        </w:rPr>
        <w:t>203 were female, 122 were male. Their ages ranged between 18 - 30.</w:t>
      </w:r>
    </w:p>
    <w:p w:rsidR="00EC05C0" w:rsidRDefault="00EC05C0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  <w:lang w:val="tr-TR"/>
        </w:rPr>
      </w:pPr>
    </w:p>
    <w:p w:rsidR="005F674F" w:rsidRPr="006B1346" w:rsidRDefault="005F674F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  <w:lang w:val="tr-TR"/>
        </w:rPr>
      </w:pPr>
      <w:r w:rsidRPr="006B1346">
        <w:rPr>
          <w:rFonts w:ascii="TimesNewRomanPSMT" w:hAnsi="TimesNewRomanPSMT" w:cs="TimesNewRomanPSMT"/>
          <w:b/>
          <w:sz w:val="20"/>
          <w:szCs w:val="20"/>
          <w:lang w:val="tr-TR"/>
        </w:rPr>
        <w:t>2.2. Procedure</w:t>
      </w:r>
    </w:p>
    <w:p w:rsidR="005F674F" w:rsidRDefault="005F674F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  <w:r>
        <w:rPr>
          <w:rFonts w:ascii="TimesNewRomanPSMT" w:hAnsi="TimesNewRomanPSMT" w:cs="TimesNewRomanPSMT"/>
          <w:sz w:val="20"/>
          <w:szCs w:val="20"/>
          <w:lang w:val="tr-TR"/>
        </w:rPr>
        <w:t>The EIRS was translated into Turkish by taking the following steps: Firstl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y, three specialists translated English </w:t>
      </w:r>
      <w:r>
        <w:rPr>
          <w:rFonts w:ascii="TimesNewRomanPSMT" w:hAnsi="TimesNewRomanPSMT" w:cs="TimesNewRomanPSMT"/>
          <w:sz w:val="20"/>
          <w:szCs w:val="20"/>
          <w:lang w:val="tr-TR"/>
        </w:rPr>
        <w:t>version into Turkish. The Turkish version of the EIRS was then translated back into English by two English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speaking </w:t>
      </w:r>
      <w:r>
        <w:rPr>
          <w:rFonts w:ascii="TimesNewRomanPSMT" w:hAnsi="TimesNewRomanPSMT" w:cs="TimesNewRomanPSMT"/>
          <w:sz w:val="20"/>
          <w:szCs w:val="20"/>
          <w:lang w:val="tr-TR"/>
        </w:rPr>
        <w:t>language specialists who were blinded to the original scale and the objectiv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e of the study. The differences </w:t>
      </w:r>
      <w:r>
        <w:rPr>
          <w:rFonts w:ascii="TimesNewRomanPSMT" w:hAnsi="TimesNewRomanPSMT" w:cs="TimesNewRomanPSMT"/>
          <w:sz w:val="20"/>
          <w:szCs w:val="20"/>
          <w:lang w:val="tr-TR"/>
        </w:rPr>
        <w:t>between translated versions were evaluated and a satisfactory compliance with the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original scale was achieved by </w:t>
      </w:r>
      <w:r>
        <w:rPr>
          <w:rFonts w:ascii="TimesNewRomanPSMT" w:hAnsi="TimesNewRomanPSMT" w:cs="TimesNewRomanPSMT"/>
          <w:sz w:val="20"/>
          <w:szCs w:val="20"/>
          <w:lang w:val="tr-TR"/>
        </w:rPr>
        <w:t>consensus of the translators. The updated version was reevaluated by the origina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l group of expert reviewers, to </w:t>
      </w:r>
      <w:r>
        <w:rPr>
          <w:rFonts w:ascii="TimesNewRomanPSMT" w:hAnsi="TimesNewRomanPSMT" w:cs="TimesNewRomanPSMT"/>
          <w:sz w:val="20"/>
          <w:szCs w:val="20"/>
          <w:lang w:val="tr-TR"/>
        </w:rPr>
        <w:t>finalize the Turkish version used in this study. Then the validity and reliability analy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ses of the scale were examined. </w:t>
      </w:r>
      <w:r>
        <w:rPr>
          <w:rFonts w:ascii="TimesNewRomanPSMT" w:hAnsi="TimesNewRomanPSMT" w:cs="TimesNewRomanPSMT"/>
          <w:sz w:val="20"/>
          <w:szCs w:val="20"/>
          <w:lang w:val="tr-TR"/>
        </w:rPr>
        <w:t>In this study, confirmatory factor analysis (CFA) was executed to confirm the original scale’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s structure in Turkish </w:t>
      </w:r>
      <w:r>
        <w:rPr>
          <w:rFonts w:ascii="TimesNewRomanPSMT" w:hAnsi="TimesNewRomanPSMT" w:cs="TimesNewRomanPSMT"/>
          <w:sz w:val="20"/>
          <w:szCs w:val="20"/>
          <w:lang w:val="tr-TR"/>
        </w:rPr>
        <w:t>culture. Besides internal consistency reliability and the item-total correlations were</w:t>
      </w:r>
      <w:r w:rsidR="006B1346">
        <w:rPr>
          <w:rFonts w:ascii="TimesNewRomanPSMT" w:hAnsi="TimesNewRomanPSMT" w:cs="TimesNewRomanPSMT"/>
          <w:sz w:val="20"/>
          <w:szCs w:val="20"/>
          <w:lang w:val="tr-TR"/>
        </w:rPr>
        <w:t xml:space="preserve"> examined. As for the data were </w:t>
      </w:r>
      <w:r>
        <w:rPr>
          <w:rFonts w:ascii="TimesNewRomanPSMT" w:hAnsi="TimesNewRomanPSMT" w:cs="TimesNewRomanPSMT"/>
          <w:sz w:val="20"/>
          <w:szCs w:val="20"/>
          <w:lang w:val="tr-TR"/>
        </w:rPr>
        <w:t>analyzed using LISREL 8.54 and SPSS 22.0 package programs.</w:t>
      </w:r>
    </w:p>
    <w:p w:rsidR="006B1346" w:rsidRDefault="006B1346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</w:p>
    <w:p w:rsidR="005F674F" w:rsidRPr="006B1346" w:rsidRDefault="005F674F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  <w:lang w:val="tr-TR"/>
        </w:rPr>
      </w:pPr>
      <w:r w:rsidRPr="006B1346">
        <w:rPr>
          <w:rFonts w:ascii="TimesNewRomanPSMT" w:hAnsi="TimesNewRomanPSMT" w:cs="TimesNewRomanPSMT"/>
          <w:b/>
          <w:sz w:val="20"/>
          <w:szCs w:val="20"/>
          <w:lang w:val="tr-TR"/>
        </w:rPr>
        <w:t>Results</w:t>
      </w:r>
    </w:p>
    <w:p w:rsidR="00EC05C0" w:rsidRDefault="00EC05C0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  <w:lang w:val="tr-TR"/>
        </w:rPr>
      </w:pPr>
    </w:p>
    <w:p w:rsidR="005F674F" w:rsidRPr="006B1346" w:rsidRDefault="005F674F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  <w:lang w:val="tr-TR"/>
        </w:rPr>
      </w:pPr>
      <w:r w:rsidRPr="006B1346">
        <w:rPr>
          <w:rFonts w:ascii="TimesNewRomanPSMT" w:hAnsi="TimesNewRomanPSMT" w:cs="TimesNewRomanPSMT"/>
          <w:b/>
          <w:sz w:val="20"/>
          <w:szCs w:val="20"/>
          <w:lang w:val="tr-TR"/>
        </w:rPr>
        <w:t>3.1. Construct Validity</w:t>
      </w:r>
    </w:p>
    <w:p w:rsidR="005F674F" w:rsidRDefault="005F674F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  <w:r>
        <w:rPr>
          <w:rFonts w:ascii="TimesNewRomanPSMT" w:hAnsi="TimesNewRomanPSMT" w:cs="TimesNewRomanPSMT"/>
          <w:sz w:val="20"/>
          <w:szCs w:val="20"/>
          <w:lang w:val="tr-TR"/>
        </w:rPr>
        <w:t>Confirmatory Factor Analysis (CFA) is useful when researchers have clear (o</w:t>
      </w:r>
      <w:r w:rsidR="006B1346">
        <w:rPr>
          <w:rFonts w:ascii="TimesNewRomanPSMT" w:hAnsi="TimesNewRomanPSMT" w:cs="TimesNewRomanPSMT"/>
          <w:sz w:val="20"/>
          <w:szCs w:val="20"/>
          <w:lang w:val="tr-TR"/>
        </w:rPr>
        <w:t xml:space="preserve">r competing) hypotheses about a </w:t>
      </w:r>
      <w:r>
        <w:rPr>
          <w:rFonts w:ascii="TimesNewRomanPSMT" w:hAnsi="TimesNewRomanPSMT" w:cs="TimesNewRomanPSMT"/>
          <w:sz w:val="20"/>
          <w:szCs w:val="20"/>
          <w:lang w:val="tr-TR"/>
        </w:rPr>
        <w:t>scale – the number of factors or dimensions underlying its items, the links betw</w:t>
      </w:r>
      <w:r w:rsidR="006B1346">
        <w:rPr>
          <w:rFonts w:ascii="TimesNewRomanPSMT" w:hAnsi="TimesNewRomanPSMT" w:cs="TimesNewRomanPSMT"/>
          <w:sz w:val="20"/>
          <w:szCs w:val="20"/>
          <w:lang w:val="tr-TR"/>
        </w:rPr>
        <w:t xml:space="preserve">een specific items and specific </w:t>
      </w:r>
      <w:r>
        <w:rPr>
          <w:rFonts w:ascii="TimesNewRomanPSMT" w:hAnsi="TimesNewRomanPSMT" w:cs="TimesNewRomanPSMT"/>
          <w:sz w:val="20"/>
          <w:szCs w:val="20"/>
          <w:lang w:val="tr-TR"/>
        </w:rPr>
        <w:t>factors, and the association between factors. That is, CFA allows researchers to eva</w:t>
      </w:r>
      <w:r w:rsidR="006B1346">
        <w:rPr>
          <w:rFonts w:ascii="TimesNewRomanPSMT" w:hAnsi="TimesNewRomanPSMT" w:cs="TimesNewRomanPSMT"/>
          <w:sz w:val="20"/>
          <w:szCs w:val="20"/>
          <w:lang w:val="tr-TR"/>
        </w:rPr>
        <w:t xml:space="preserve">luate the degree to which their </w:t>
      </w:r>
      <w:r>
        <w:rPr>
          <w:rFonts w:ascii="TimesNewRomanPSMT" w:hAnsi="TimesNewRomanPSMT" w:cs="TimesNewRomanPSMT"/>
          <w:sz w:val="20"/>
          <w:szCs w:val="20"/>
          <w:lang w:val="tr-TR"/>
        </w:rPr>
        <w:t>measurement hypotheses are consistent with actual data produced by resp</w:t>
      </w:r>
      <w:r w:rsidR="006B1346">
        <w:rPr>
          <w:rFonts w:ascii="TimesNewRomanPSMT" w:hAnsi="TimesNewRomanPSMT" w:cs="TimesNewRomanPSMT"/>
          <w:sz w:val="20"/>
          <w:szCs w:val="20"/>
          <w:lang w:val="tr-TR"/>
        </w:rPr>
        <w:t xml:space="preserve">ondents using the scale (Furr &amp; </w:t>
      </w:r>
      <w:r>
        <w:rPr>
          <w:rFonts w:ascii="TimesNewRomanPSMT" w:hAnsi="TimesNewRomanPSMT" w:cs="TimesNewRomanPSMT"/>
          <w:sz w:val="20"/>
          <w:szCs w:val="20"/>
          <w:lang w:val="tr-TR"/>
        </w:rPr>
        <w:t>Bacharach 2008). The results of confirmatory factor analysis indicated that the t</w:t>
      </w:r>
      <w:r w:rsidR="006B1346">
        <w:rPr>
          <w:rFonts w:ascii="TimesNewRomanPSMT" w:hAnsi="TimesNewRomanPSMT" w:cs="TimesNewRomanPSMT"/>
          <w:sz w:val="20"/>
          <w:szCs w:val="20"/>
          <w:lang w:val="tr-TR"/>
        </w:rPr>
        <w:t xml:space="preserve">hree-dimensional model was well </w:t>
      </w:r>
      <w:r>
        <w:rPr>
          <w:rFonts w:ascii="TimesNewRomanPSMT" w:hAnsi="TimesNewRomanPSMT" w:cs="TimesNewRomanPSMT"/>
          <w:sz w:val="20"/>
          <w:szCs w:val="20"/>
          <w:lang w:val="tr-TR"/>
        </w:rPr>
        <w:t>fit.</w:t>
      </w:r>
      <w:r w:rsidR="006B1346">
        <w:rPr>
          <w:rFonts w:ascii="TimesNewRomanPSMT" w:hAnsi="TimesNewRomanPSMT" w:cs="TimesNewRomanPSMT"/>
          <w:sz w:val="20"/>
          <w:szCs w:val="20"/>
          <w:lang w:val="tr-TR"/>
        </w:rPr>
        <w:t xml:space="preserve"> </w:t>
      </w:r>
      <w:r w:rsidR="006B1346">
        <w:rPr>
          <w:rFonts w:ascii="TimesNewRomanPSMT" w:hAnsi="TimesNewRomanPSMT" w:cs="TimesNewRomanPSMT"/>
          <w:sz w:val="20"/>
          <w:szCs w:val="20"/>
          <w:lang w:val="tr-TR"/>
        </w:rPr>
        <w:t>(</w:t>
      </w:r>
      <w:r w:rsidR="006B1346" w:rsidRPr="006B1346">
        <w:rPr>
          <w:rFonts w:ascii="TimesNewRomanPSMT" w:hAnsi="TimesNewRomanPSMT" w:cs="TimesNewRomanPSMT"/>
          <w:sz w:val="20"/>
          <w:szCs w:val="20"/>
          <w:lang w:val="tr-TR"/>
        </w:rPr>
        <w:t>x</w:t>
      </w:r>
      <w:r w:rsidR="006B1346" w:rsidRPr="006B1346">
        <w:rPr>
          <w:rFonts w:ascii="TimesNewRomanPSMT" w:hAnsi="TimesNewRomanPSMT" w:cs="TimesNewRomanPSMT" w:hint="eastAsia"/>
          <w:sz w:val="20"/>
          <w:szCs w:val="20"/>
          <w:lang w:val="tr-TR"/>
        </w:rPr>
        <w:t>²</w:t>
      </w:r>
      <w:r w:rsidR="006B1346" w:rsidRPr="006B1346">
        <w:rPr>
          <w:rFonts w:ascii="TimesNewRomanPSMT" w:hAnsi="TimesNewRomanPSMT" w:cs="TimesNewRomanPSMT"/>
          <w:sz w:val="20"/>
          <w:szCs w:val="20"/>
          <w:lang w:val="tr-TR"/>
        </w:rPr>
        <w:t>=357.85, df=132, RMSEA=.0073, NFI=.93, NNFI=.94, CFI=.95, IFI=.95, RFI=.91, AGFI=.86 and</w:t>
      </w:r>
      <w:r w:rsidR="006B1346">
        <w:rPr>
          <w:rFonts w:ascii="TimesNewRomanPSMT" w:hAnsi="TimesNewRomanPSMT" w:cs="TimesNewRomanPSMT"/>
          <w:sz w:val="20"/>
          <w:szCs w:val="20"/>
          <w:lang w:val="tr-TR"/>
        </w:rPr>
        <w:t xml:space="preserve"> </w:t>
      </w:r>
      <w:r w:rsidR="006B1346" w:rsidRPr="006B1346">
        <w:rPr>
          <w:rFonts w:ascii="TimesNewRomanPSMT" w:hAnsi="TimesNewRomanPSMT" w:cs="TimesNewRomanPSMT"/>
          <w:sz w:val="20"/>
          <w:szCs w:val="20"/>
          <w:lang w:val="tr-TR"/>
        </w:rPr>
        <w:t>SRMR=.074</w:t>
      </w:r>
      <w:r w:rsidR="006B1346">
        <w:rPr>
          <w:rFonts w:ascii="TimesNewRomanPSMT" w:hAnsi="TimesNewRomanPSMT" w:cs="TimesNewRomanPSMT"/>
          <w:sz w:val="20"/>
          <w:szCs w:val="20"/>
          <w:lang w:val="tr-TR"/>
        </w:rPr>
        <w:t>).</w:t>
      </w:r>
    </w:p>
    <w:p w:rsidR="005F674F" w:rsidRDefault="005F674F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  <w:r>
        <w:rPr>
          <w:rFonts w:ascii="TimesNewRomanPSMT" w:hAnsi="TimesNewRomanPSMT" w:cs="TimesNewRomanPSMT"/>
          <w:sz w:val="20"/>
          <w:szCs w:val="20"/>
          <w:lang w:val="tr-TR"/>
        </w:rPr>
        <w:t>Factor loadings and path diagram of Turkish version of EIRS are presented in Figure 1.</w:t>
      </w:r>
      <w:r w:rsidR="006B1346">
        <w:rPr>
          <w:rFonts w:ascii="TimesNewRomanPSMT" w:hAnsi="TimesNewRomanPSMT" w:cs="TimesNewRomanPSMT"/>
          <w:sz w:val="20"/>
          <w:szCs w:val="20"/>
          <w:lang w:val="tr-TR"/>
        </w:rPr>
        <w:t>1</w:t>
      </w:r>
    </w:p>
    <w:p w:rsidR="006B1346" w:rsidRDefault="006B1346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</w:p>
    <w:p w:rsidR="006B1346" w:rsidRDefault="006B1346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  <w:r>
        <w:rPr>
          <w:rFonts w:ascii="TimesNewRomanPSMT" w:hAnsi="TimesNewRomanPSMT" w:cs="TimesNewRomanPSMT"/>
          <w:noProof/>
          <w:sz w:val="20"/>
          <w:szCs w:val="20"/>
          <w:lang w:val="tr-TR" w:eastAsia="tr-TR"/>
        </w:rPr>
        <w:lastRenderedPageBreak/>
        <w:drawing>
          <wp:inline distT="0" distB="0" distL="0" distR="0">
            <wp:extent cx="5762625" cy="4610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346" w:rsidRDefault="006B1346" w:rsidP="005F67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</w:p>
    <w:p w:rsidR="006B1346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Figure 1.1 </w:t>
      </w:r>
      <w:r>
        <w:rPr>
          <w:rFonts w:ascii="TimesNewRomanPSMT" w:hAnsi="TimesNewRomanPSMT" w:cs="TimesNewRomanPSMT"/>
          <w:sz w:val="20"/>
          <w:szCs w:val="20"/>
          <w:lang w:val="tr-TR"/>
        </w:rPr>
        <w:t>Factor Loadings and Path Diagram for the EIRS (F1= Perception,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F2=Understanding and F3= </w:t>
      </w:r>
      <w:r>
        <w:rPr>
          <w:rFonts w:ascii="TimesNewRomanPSMT" w:hAnsi="TimesNewRomanPSMT" w:cs="TimesNewRomanPSMT"/>
          <w:sz w:val="20"/>
          <w:szCs w:val="20"/>
          <w:lang w:val="tr-TR"/>
        </w:rPr>
        <w:t>Management)</w:t>
      </w:r>
    </w:p>
    <w:p w:rsidR="006B1346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  <w:lang w:val="tr-TR"/>
        </w:rPr>
      </w:pPr>
      <w:r w:rsidRPr="00EC05C0">
        <w:rPr>
          <w:rFonts w:ascii="TimesNewRomanPSMT" w:hAnsi="TimesNewRomanPSMT" w:cs="TimesNewRomanPSMT"/>
          <w:b/>
          <w:sz w:val="20"/>
          <w:szCs w:val="20"/>
          <w:lang w:val="tr-TR"/>
        </w:rPr>
        <w:t>3.2. Reliability</w:t>
      </w:r>
    </w:p>
    <w:p w:rsidR="006B1346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  <w:r>
        <w:rPr>
          <w:rFonts w:ascii="TimesNewRomanPSMT" w:hAnsi="TimesNewRomanPSMT" w:cs="TimesNewRomanPSMT"/>
          <w:sz w:val="20"/>
          <w:szCs w:val="20"/>
          <w:lang w:val="tr-TR"/>
        </w:rPr>
        <w:t xml:space="preserve">The Cronbach’s Alpha internal consistency reliability coefficients of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the scale were found as .75 for perception </w:t>
      </w:r>
      <w:r>
        <w:rPr>
          <w:rFonts w:ascii="TimesNewRomanPSMT" w:hAnsi="TimesNewRomanPSMT" w:cs="TimesNewRomanPSMT"/>
          <w:sz w:val="20"/>
          <w:szCs w:val="20"/>
          <w:lang w:val="tr-TR"/>
        </w:rPr>
        <w:t>subscale, .86 for understanding subscale, .77 for management subscale and .85 for the ov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erall scale. The corrected </w:t>
      </w:r>
      <w:r>
        <w:rPr>
          <w:rFonts w:ascii="TimesNewRomanPSMT" w:hAnsi="TimesNewRomanPSMT" w:cs="TimesNewRomanPSMT"/>
          <w:sz w:val="20"/>
          <w:szCs w:val="20"/>
          <w:lang w:val="tr-TR"/>
        </w:rPr>
        <w:t>item-total correlations of EIRS ranged from .20 to .61. Values for an item - total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correlation between 0 and 0.19 </w:t>
      </w:r>
      <w:r>
        <w:rPr>
          <w:rFonts w:ascii="TimesNewRomanPSMT" w:hAnsi="TimesNewRomanPSMT" w:cs="TimesNewRomanPSMT"/>
          <w:sz w:val="20"/>
          <w:szCs w:val="20"/>
          <w:lang w:val="tr-TR"/>
        </w:rPr>
        <w:t>may indicate that the question is not discriminating well, values between 0.2 and 0.39 indicate good discrimination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, </w:t>
      </w:r>
      <w:r>
        <w:rPr>
          <w:rFonts w:ascii="TimesNewRomanPSMT" w:hAnsi="TimesNewRomanPSMT" w:cs="TimesNewRomanPSMT"/>
          <w:sz w:val="20"/>
          <w:szCs w:val="20"/>
          <w:lang w:val="tr-TR"/>
        </w:rPr>
        <w:t>and values 0.4 and above indicate very good discrimination (Büyüköztürk, 2010).</w:t>
      </w:r>
    </w:p>
    <w:p w:rsidR="006B1346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0"/>
          <w:szCs w:val="20"/>
          <w:lang w:val="tr-TR"/>
        </w:rPr>
      </w:pPr>
    </w:p>
    <w:p w:rsidR="006B1346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0"/>
          <w:szCs w:val="20"/>
          <w:lang w:val="tr-TR"/>
        </w:rPr>
      </w:pPr>
      <w:r>
        <w:rPr>
          <w:rFonts w:ascii="Times-Bold" w:hAnsi="Times-Bold" w:cs="Times-Bold"/>
          <w:b/>
          <w:bCs/>
          <w:sz w:val="20"/>
          <w:szCs w:val="20"/>
          <w:lang w:val="tr-TR"/>
        </w:rPr>
        <w:t>Discussion</w:t>
      </w:r>
    </w:p>
    <w:p w:rsidR="006B1346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  <w:r>
        <w:rPr>
          <w:rFonts w:ascii="TimesNewRomanPSMT" w:hAnsi="TimesNewRomanPSMT" w:cs="TimesNewRomanPSMT"/>
          <w:sz w:val="20"/>
          <w:szCs w:val="20"/>
          <w:lang w:val="tr-TR"/>
        </w:rPr>
        <w:t>The purpose of this study was to adapt the EIRS into Turkish and examine its psychometric properties.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Confirmatory factor analysis demonstrated that the factor structure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was harmonized with the factor </w:t>
      </w:r>
      <w:r>
        <w:rPr>
          <w:rFonts w:ascii="TimesNewRomanPSMT" w:hAnsi="TimesNewRomanPSMT" w:cs="TimesNewRomanPSMT"/>
          <w:sz w:val="20"/>
          <w:szCs w:val="20"/>
          <w:lang w:val="tr-TR"/>
        </w:rPr>
        <w:t>structure of the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original scale. Thus, it can be said that the structural model of the EIRS which consists of three factors was well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fit to the Turkish culture (Bentler &amp; Bonett, 1980; Hu &amp; Bentler,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1999; </w:t>
      </w:r>
      <w:r>
        <w:rPr>
          <w:rFonts w:ascii="TimesNewRomanPSMT" w:hAnsi="TimesNewRomanPSMT" w:cs="TimesNewRomanPSMT"/>
          <w:sz w:val="20"/>
          <w:szCs w:val="20"/>
          <w:lang w:val="tr-TR"/>
        </w:rPr>
        <w:t>Schermelleh-Engel &amp; Moosbrugger, 2003).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The internal consistency reliability coefficients of the scale were high (Büyüköztürk, 2010; Kline, 2000).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Considering that item total correlations having a value of .30 (Büyüköztürk, 2010). The results of confirmatory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factor analysis demonstrated that the 18 items loaded on three factors (perception , understanding and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management) and the three-dimensional model was well fit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(</w:t>
      </w:r>
      <w:r w:rsidRPr="006B1346">
        <w:rPr>
          <w:rFonts w:ascii="TimesNewRomanPSMT" w:hAnsi="TimesNewRomanPSMT" w:cs="TimesNewRomanPSMT"/>
          <w:sz w:val="20"/>
          <w:szCs w:val="20"/>
          <w:lang w:val="tr-TR"/>
        </w:rPr>
        <w:t>x</w:t>
      </w:r>
      <w:r w:rsidRPr="006B1346">
        <w:rPr>
          <w:rFonts w:ascii="TimesNewRomanPSMT" w:hAnsi="TimesNewRomanPSMT" w:cs="TimesNewRomanPSMT" w:hint="eastAsia"/>
          <w:sz w:val="20"/>
          <w:szCs w:val="20"/>
          <w:lang w:val="tr-TR"/>
        </w:rPr>
        <w:t>²</w:t>
      </w:r>
      <w:r w:rsidRPr="006B1346">
        <w:rPr>
          <w:rFonts w:ascii="TimesNewRomanPSMT" w:hAnsi="TimesNewRomanPSMT" w:cs="TimesNewRomanPSMT"/>
          <w:sz w:val="20"/>
          <w:szCs w:val="20"/>
          <w:lang w:val="tr-TR"/>
        </w:rPr>
        <w:t>=357.85, df=132, RMSEA=.0073, NFI=.93, NNFI=.94, CFI=.95, IFI=.95, RFI=.91, AGFI=.86 and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</w:t>
      </w:r>
      <w:r w:rsidRPr="006B1346">
        <w:rPr>
          <w:rFonts w:ascii="TimesNewRomanPSMT" w:hAnsi="TimesNewRomanPSMT" w:cs="TimesNewRomanPSMT"/>
          <w:sz w:val="20"/>
          <w:szCs w:val="20"/>
          <w:lang w:val="tr-TR"/>
        </w:rPr>
        <w:t>SRMR=.074</w:t>
      </w:r>
      <w:r>
        <w:rPr>
          <w:rFonts w:ascii="TimesNewRomanPSMT" w:hAnsi="TimesNewRomanPSMT" w:cs="TimesNewRomanPSMT"/>
          <w:sz w:val="20"/>
          <w:szCs w:val="20"/>
          <w:lang w:val="tr-TR"/>
        </w:rPr>
        <w:t>).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The present study has some limitations. One of the limitations of the current study is its sample size. In other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words, future studies should investigate the same research question with a larger sample size. If a larger sample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size clarify some correlations, the validity of the findings can be increased.Moreover, conducting this study in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various rural areas of Turkey may represent the generalizability of these results to a wider population. Another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limitation of the current study is that the sample was composed of university students, which restricted the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generalizability of the findings. Hence, it could be important to investigate the relationship of these variables in</w:t>
      </w:r>
      <w:r>
        <w:rPr>
          <w:rFonts w:ascii="Times-Bold" w:hAnsi="Times-Bold" w:cs="Times-Bold"/>
          <w:b/>
          <w:bCs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other sample groups. Overall </w:t>
      </w:r>
      <w:r>
        <w:rPr>
          <w:rFonts w:ascii="TimesNewRomanPSMT" w:hAnsi="TimesNewRomanPSMT" w:cs="TimesNewRomanPSMT"/>
          <w:sz w:val="20"/>
          <w:szCs w:val="20"/>
          <w:lang w:val="tr-TR"/>
        </w:rPr>
        <w:lastRenderedPageBreak/>
        <w:t>findings demonstrated that this scale had high validity and reliability scores and that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tr-TR"/>
        </w:rPr>
        <w:t>it may be used as a valid and reliable instrument in order to measure the individuals’</w:t>
      </w:r>
      <w:r>
        <w:rPr>
          <w:rFonts w:ascii="TimesNewRomanPSMT" w:hAnsi="TimesNewRomanPSMT" w:cs="TimesNewRomanPSMT"/>
          <w:sz w:val="20"/>
          <w:szCs w:val="20"/>
          <w:lang w:val="tr-TR"/>
        </w:rPr>
        <w:t xml:space="preserve"> tendencies to emotional </w:t>
      </w:r>
      <w:r>
        <w:rPr>
          <w:rFonts w:ascii="TimesNewRomanPSMT" w:hAnsi="TimesNewRomanPSMT" w:cs="TimesNewRomanPSMT"/>
          <w:sz w:val="20"/>
          <w:szCs w:val="20"/>
          <w:lang w:val="tr-TR"/>
        </w:rPr>
        <w:t>intelligence. Nevertheless, further studies that will use EIRS are important for its measurement effectiveness.</w:t>
      </w:r>
    </w:p>
    <w:p w:rsidR="006B1346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tr-TR"/>
        </w:rPr>
      </w:pPr>
    </w:p>
    <w:p w:rsidR="006B1346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0"/>
          <w:szCs w:val="20"/>
          <w:lang w:val="tr-TR"/>
        </w:rPr>
      </w:pPr>
      <w:r>
        <w:rPr>
          <w:rFonts w:ascii="Times-Bold" w:hAnsi="Times-Bold" w:cs="Times-Bold"/>
          <w:b/>
          <w:bCs/>
          <w:sz w:val="20"/>
          <w:szCs w:val="20"/>
          <w:lang w:val="tr-TR"/>
        </w:rPr>
        <w:t>References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Anguiano-Carrasco,C., MacCann,C., Geiger,M., Seybert,M.J., &amp;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Roberts,D.R. (2015). Journal of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Psychoeducational Assessment,33 (1) 83-97.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Bar-On, R. (1997).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>The Emotional Quotient Inventory (EQ-i): a test of emotional intelligence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. Toronto: Multi-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Health Systems</w:t>
      </w:r>
    </w:p>
    <w:p w:rsid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Bar-On, R. (2000).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Emotional and social intelligence: insights from the emotional quotient inventory. </w:t>
      </w:r>
      <w:r w:rsidR="00EC05C0">
        <w:rPr>
          <w:rFonts w:ascii="Times New Roman" w:hAnsi="Times New Roman" w:cs="Times New Roman"/>
          <w:sz w:val="20"/>
          <w:szCs w:val="20"/>
          <w:lang w:val="tr-TR"/>
        </w:rPr>
        <w:t>In R. Bar-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On &amp; J.D.A. Parker (eds.): Handbook of emotional intelligence (pp. 363-38</w:t>
      </w:r>
      <w:r w:rsidR="00EC05C0">
        <w:rPr>
          <w:rFonts w:ascii="Times New Roman" w:hAnsi="Times New Roman" w:cs="Times New Roman"/>
          <w:sz w:val="20"/>
          <w:szCs w:val="20"/>
          <w:lang w:val="tr-TR"/>
        </w:rPr>
        <w:t>8). San Francisco: Jossey-Bass.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>Bentler, P. M., &amp; Bonet, D. G. (1980). Significance tests and goodness of fi</w:t>
      </w:r>
      <w:r w:rsidR="00EC05C0">
        <w:rPr>
          <w:rFonts w:ascii="Times New Roman" w:hAnsi="Times New Roman" w:cs="Times New Roman"/>
          <w:sz w:val="20"/>
          <w:szCs w:val="20"/>
          <w:lang w:val="tr-TR"/>
        </w:rPr>
        <w:t xml:space="preserve">t in the analysis of covariance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structures.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Psychological Bulletin, 88,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588-606.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Büyüköztürk, Ş. (2010). </w:t>
      </w:r>
      <w:r w:rsidRPr="00EC05C0">
        <w:rPr>
          <w:rFonts w:ascii="Times New Roman" w:eastAsia="TimesNewRomanPS-ItalicMT" w:hAnsi="Times New Roman" w:cs="Times New Roman"/>
          <w:i/>
          <w:iCs/>
          <w:sz w:val="20"/>
          <w:szCs w:val="20"/>
          <w:lang w:val="tr-TR"/>
        </w:rPr>
        <w:t xml:space="preserve">Sosyal bilimler için veri analizi el kitabı. </w:t>
      </w:r>
      <w:r w:rsidR="00EC05C0"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Ankara: Pegem Akademi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yayınları.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>Furr, R.M., &amp; Bacharach, V.R. (2008). Psychometrics: An introduction. Thousand Oaks, CA: Sage.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Goleman, D &amp; Emmerling, R.J.(2003).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>Emotional Intelligence: Issues And Common Misunderstandings</w:t>
      </w:r>
      <w:r w:rsidR="00EC05C0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Consortium for Research on Emotional Intelligence in Organizations.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Goleman, D. (1995).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Emotional intelligence.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New York: Bantam Books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Greenspan, S. I. (1989).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Emotional intelligence. In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K. Field, B. J. Cohler,</w:t>
      </w:r>
      <w:r w:rsidR="00EC05C0">
        <w:rPr>
          <w:rFonts w:ascii="Times New Roman" w:hAnsi="Times New Roman" w:cs="Times New Roman"/>
          <w:sz w:val="20"/>
          <w:szCs w:val="20"/>
          <w:lang w:val="tr-TR"/>
        </w:rPr>
        <w:t xml:space="preserve"> &amp; G. Wool (Eds.), Learning and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education: psychoanalytic perspectives (pp. 209–243). Madison, CT: International Universities Press.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>Hu, L. T., &amp; Bentler, P. M. (1999). Cutoff criteria for fit indexes in covariance st</w:t>
      </w:r>
      <w:r w:rsidR="00EC05C0">
        <w:rPr>
          <w:rFonts w:ascii="Times New Roman" w:hAnsi="Times New Roman" w:cs="Times New Roman"/>
          <w:sz w:val="20"/>
          <w:szCs w:val="20"/>
          <w:lang w:val="tr-TR"/>
        </w:rPr>
        <w:t xml:space="preserve">ructural analysis: Conventional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criteria versus new alternatives.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Structural Equation Modeling, 6,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1</w:t>
      </w:r>
      <w:r w:rsidR="00EC05C0">
        <w:rPr>
          <w:rFonts w:ascii="Times New Roman" w:hAnsi="Times New Roman" w:cs="Times New Roman"/>
          <w:sz w:val="20"/>
          <w:szCs w:val="20"/>
          <w:lang w:val="tr-TR"/>
        </w:rPr>
        <w:t>-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55.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>Hunter, J. E. &amp; Hunter, R. F. (1984). Validity and utility of alternative</w:t>
      </w:r>
      <w:r w:rsidR="00EC05C0">
        <w:rPr>
          <w:rFonts w:ascii="Times New Roman" w:hAnsi="Times New Roman" w:cs="Times New Roman"/>
          <w:sz w:val="20"/>
          <w:szCs w:val="20"/>
          <w:lang w:val="tr-TR"/>
        </w:rPr>
        <w:t xml:space="preserve"> predictors of job performance.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>Psychological Bulletin, 96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, 72-98.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Kline, P. (2000).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Handbook of psychological testing.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London: Routledge.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Leuner, B (1966). "Emotional intelligence and emancipation".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>P</w:t>
      </w:r>
      <w:r w:rsid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raxis der Kinderpsychologie und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Kinderpsychiatrie15: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193–203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>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McPeck, J. E (1983). Critical thinking and education.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>Teachers College Record, 85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(1), 154-157.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>Newsome, S., Day, A.L., Catano, V.M. (2000). Assessing the predictive vali</w:t>
      </w:r>
      <w:r w:rsidR="00EC05C0">
        <w:rPr>
          <w:rFonts w:ascii="Times New Roman" w:hAnsi="Times New Roman" w:cs="Times New Roman"/>
          <w:sz w:val="20"/>
          <w:szCs w:val="20"/>
          <w:lang w:val="tr-TR"/>
        </w:rPr>
        <w:t xml:space="preserve">dity of emotional intelligence.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Personality and Individual Differences 29,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1005-1016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>O’Connor, R.M. and Little, I.S. (2003). Revisiting the predictive validity of emot</w:t>
      </w:r>
      <w:r w:rsidR="00EC05C0">
        <w:rPr>
          <w:rFonts w:ascii="Times New Roman" w:hAnsi="Times New Roman" w:cs="Times New Roman"/>
          <w:sz w:val="20"/>
          <w:szCs w:val="20"/>
          <w:lang w:val="tr-TR"/>
        </w:rPr>
        <w:t xml:space="preserve">ional intelligence: Self-report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versus ability-based measures.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>Personality and Individual Differences, 35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, 1893-1902.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Payne, W.L. (1983/1986).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>A study of emotion: developing emotional intelligence; self</w:t>
      </w:r>
      <w:r w:rsid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 integration; relating to fear,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>pain and desire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. Dissertation Abstracts International, 47, p. 203A (University microfilms No. AAC 8605928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Petrides, K. V., Furnham, A, &amp; Frederickson, N. (2004) Emotional Intelligence.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The Psychologist, 17.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574-577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Salovey, P.. &amp; Mayer, J. D. (1990). Emotional intelligence.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Imagination, Cognition and Personality, 9,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185-211.</w:t>
      </w:r>
    </w:p>
    <w:p w:rsidR="006B1346" w:rsidRPr="00EC05C0" w:rsidRDefault="006B1346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>Schermelleh-Engel, K., &amp; Moosbrugger, H., (2003). Evaluating the fit of struc</w:t>
      </w:r>
      <w:r w:rsidR="00EC05C0">
        <w:rPr>
          <w:rFonts w:ascii="Times New Roman" w:hAnsi="Times New Roman" w:cs="Times New Roman"/>
          <w:sz w:val="20"/>
          <w:szCs w:val="20"/>
          <w:lang w:val="tr-TR"/>
        </w:rPr>
        <w:t xml:space="preserve">tural equation models: Tests of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significance and descriptive goodness-of-fit measures.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>Methods of Psychological Research Online, 8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(2), 23-74.</w:t>
      </w:r>
    </w:p>
    <w:p w:rsidR="006B1346" w:rsidRPr="00EC05C0" w:rsidRDefault="006B1346" w:rsidP="00EC0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>Schutte, N. S., Malouff, J. M., Hall, L. E., Haggerty, D. J. Cooper, J. T., Golden, C. J., &amp; Dornheim, L. (1998).</w:t>
      </w:r>
    </w:p>
    <w:p w:rsidR="00EC05C0" w:rsidRPr="00EC05C0" w:rsidRDefault="00EC05C0" w:rsidP="00EC0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Development and validation of a measure of emotional intelligence.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Personality </w:t>
      </w:r>
      <w:r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and Individual Differences, 25, 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>167-177.</w:t>
      </w:r>
    </w:p>
    <w:p w:rsidR="006B1346" w:rsidRDefault="00EC05C0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Sternberg, R. J. (1997). </w:t>
      </w:r>
      <w:r w:rsidRPr="00EC05C0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Successful intelligence. </w:t>
      </w:r>
      <w:r>
        <w:rPr>
          <w:rFonts w:ascii="Times New Roman" w:hAnsi="Times New Roman" w:cs="Times New Roman"/>
          <w:sz w:val="20"/>
          <w:szCs w:val="20"/>
          <w:lang w:val="tr-TR"/>
        </w:rPr>
        <w:t>New York: Plume.</w:t>
      </w:r>
    </w:p>
    <w:p w:rsidR="00EC05C0" w:rsidRPr="00EC05C0" w:rsidRDefault="00EC05C0" w:rsidP="006B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Thorndike, E.L. (1920). Intelligence and its uses. </w:t>
      </w:r>
      <w:r w:rsidRPr="00EC05C0">
        <w:rPr>
          <w:rFonts w:ascii="Times New Roman" w:eastAsia="TimesNewRomanPS-ItalicMT" w:hAnsi="Times New Roman" w:cs="Times New Roman"/>
          <w:i/>
          <w:iCs/>
          <w:sz w:val="20"/>
          <w:szCs w:val="20"/>
          <w:lang w:val="tr-TR"/>
        </w:rPr>
        <w:t>Harper’s Magazine, 140</w:t>
      </w:r>
      <w:r w:rsidRPr="00EC05C0">
        <w:rPr>
          <w:rFonts w:ascii="Times New Roman" w:hAnsi="Times New Roman" w:cs="Times New Roman"/>
          <w:sz w:val="20"/>
          <w:szCs w:val="20"/>
          <w:lang w:val="tr-TR"/>
        </w:rPr>
        <w:t xml:space="preserve">, 227-335. </w:t>
      </w:r>
    </w:p>
    <w:sectPr w:rsidR="00EC05C0" w:rsidRPr="00EC05C0" w:rsidSect="005F67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9C" w:rsidRDefault="00266A9C" w:rsidP="00AA4BA0">
      <w:pPr>
        <w:spacing w:after="0" w:line="240" w:lineRule="auto"/>
      </w:pPr>
      <w:r>
        <w:separator/>
      </w:r>
    </w:p>
  </w:endnote>
  <w:endnote w:type="continuationSeparator" w:id="0">
    <w:p w:rsidR="00266A9C" w:rsidRDefault="00266A9C" w:rsidP="00A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1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imes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BA0" w:rsidRPr="00AA4BA0" w:rsidRDefault="00AA4BA0" w:rsidP="00AA4BA0">
    <w:pPr>
      <w:autoSpaceDE w:val="0"/>
      <w:autoSpaceDN w:val="0"/>
      <w:adjustRightInd w:val="0"/>
      <w:spacing w:after="0" w:line="240" w:lineRule="auto"/>
      <w:jc w:val="center"/>
      <w:rPr>
        <w:rFonts w:ascii="TimesNewRomanPSMT" w:hAnsi="TimesNewRomanPSMT" w:cs="TimesNewRomanPSMT"/>
        <w:sz w:val="18"/>
        <w:szCs w:val="18"/>
        <w:lang w:val="tr-TR"/>
      </w:rPr>
    </w:pPr>
    <w:r>
      <w:rPr>
        <w:rFonts w:ascii="TimesNewRomanPSMT" w:hAnsi="TimesNewRomanPSMT" w:cs="TimesNewRomanPSMT"/>
        <w:sz w:val="18"/>
        <w:szCs w:val="18"/>
        <w:lang w:val="tr-TR"/>
      </w:rPr>
      <w:t xml:space="preserve">Copyright </w:t>
    </w:r>
    <w:r>
      <w:rPr>
        <w:rFonts w:ascii="Arial" w:hAnsi="Arial" w:cs="Arial"/>
        <w:sz w:val="18"/>
        <w:szCs w:val="18"/>
        <w:lang w:val="tr-TR"/>
      </w:rPr>
      <w:t xml:space="preserve">© </w:t>
    </w:r>
    <w:r>
      <w:rPr>
        <w:rFonts w:ascii="TimesNewRomanPSMT" w:hAnsi="TimesNewRomanPSMT" w:cs="TimesNewRomanPSMT"/>
        <w:sz w:val="18"/>
        <w:szCs w:val="18"/>
        <w:lang w:val="tr-TR"/>
      </w:rPr>
      <w:t>The Turkish Online Jo</w:t>
    </w:r>
    <w:r>
      <w:rPr>
        <w:rFonts w:ascii="TimesNewRomanPSMT" w:hAnsi="TimesNewRomanPSMT" w:cs="TimesNewRomanPSMT"/>
        <w:sz w:val="18"/>
        <w:szCs w:val="18"/>
        <w:lang w:val="tr-TR"/>
      </w:rPr>
      <w:t>urnal of Educational Technology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9C" w:rsidRDefault="00266A9C" w:rsidP="00AA4BA0">
      <w:pPr>
        <w:spacing w:after="0" w:line="240" w:lineRule="auto"/>
      </w:pPr>
      <w:r>
        <w:separator/>
      </w:r>
    </w:p>
  </w:footnote>
  <w:footnote w:type="continuationSeparator" w:id="0">
    <w:p w:rsidR="00266A9C" w:rsidRDefault="00266A9C" w:rsidP="00AA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74F" w:rsidRPr="005F674F" w:rsidRDefault="005F674F">
    <w:pPr>
      <w:pStyle w:val="Header"/>
      <w:rPr>
        <w:sz w:val="18"/>
      </w:rPr>
    </w:pPr>
    <w:r w:rsidRPr="005F674F">
      <w:rPr>
        <w:rFonts w:ascii="TimesNewRomanPSMT" w:hAnsi="TimesNewRomanPSMT" w:cs="TimesNewRomanPSMT"/>
        <w:noProof/>
        <w:sz w:val="14"/>
        <w:szCs w:val="18"/>
        <w:lang w:val="tr-TR" w:eastAsia="tr-TR"/>
      </w:rPr>
      <w:drawing>
        <wp:anchor distT="0" distB="0" distL="114300" distR="114300" simplePos="0" relativeHeight="251658240" behindDoc="0" locked="0" layoutInCell="1" allowOverlap="1" wp14:anchorId="561FC352" wp14:editId="1B94F2B0">
          <wp:simplePos x="0" y="0"/>
          <wp:positionH relativeFrom="margin">
            <wp:align>left</wp:align>
          </wp:positionH>
          <wp:positionV relativeFrom="margin">
            <wp:posOffset>-571500</wp:posOffset>
          </wp:positionV>
          <wp:extent cx="900000" cy="324489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24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674F">
      <w:rPr>
        <w:rFonts w:ascii="TimesNewRomanPSMT" w:hAnsi="TimesNewRomanPSMT" w:cs="TimesNewRomanPSMT"/>
        <w:sz w:val="14"/>
        <w:szCs w:val="18"/>
        <w:lang w:val="tr-TR"/>
      </w:rPr>
      <w:t>TOJET: The Turkish Online Journal of Educational Technology – July 2015, Special Issue 1 for IETC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B1"/>
    <w:rsid w:val="001F5E6F"/>
    <w:rsid w:val="00266A9C"/>
    <w:rsid w:val="005F674F"/>
    <w:rsid w:val="006B1346"/>
    <w:rsid w:val="007067B1"/>
    <w:rsid w:val="00AA4BA0"/>
    <w:rsid w:val="00E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BD3180-927F-4122-B526-3A8AC11E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BA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BA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YURDAKUL</dc:creator>
  <cp:keywords/>
  <dc:description/>
  <cp:lastModifiedBy>Cengiz YURDAKUL</cp:lastModifiedBy>
  <cp:revision>3</cp:revision>
  <dcterms:created xsi:type="dcterms:W3CDTF">2015-09-21T19:55:00Z</dcterms:created>
  <dcterms:modified xsi:type="dcterms:W3CDTF">2015-09-21T20:35:00Z</dcterms:modified>
</cp:coreProperties>
</file>